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F93B" w14:textId="77777777" w:rsidR="00675A1A" w:rsidRDefault="00675A1A" w:rsidP="00675A1A">
      <w:pPr>
        <w:spacing w:line="240" w:lineRule="auto"/>
        <w:ind w:left="-709" w:firstLine="709"/>
        <w:rPr>
          <w:rFonts w:ascii="Calibri" w:hAnsi="Calibri" w:cs="Calibri"/>
          <w:color w:val="000000"/>
          <w:kern w:val="0"/>
          <w:sz w:val="22"/>
          <w:szCs w:val="22"/>
        </w:rPr>
      </w:pPr>
      <w:r w:rsidRPr="001609EC">
        <w:rPr>
          <w:rFonts w:ascii="Calibri" w:hAnsi="Calibri" w:cs="Calibri"/>
          <w:color w:val="000000"/>
          <w:kern w:val="0"/>
          <w:sz w:val="22"/>
          <w:szCs w:val="22"/>
        </w:rPr>
        <w:tab/>
      </w:r>
      <w:r w:rsidRPr="001609EC">
        <w:rPr>
          <w:rFonts w:ascii="Calibri" w:hAnsi="Calibri" w:cs="Calibri"/>
          <w:color w:val="000000"/>
          <w:kern w:val="0"/>
          <w:sz w:val="22"/>
          <w:szCs w:val="22"/>
        </w:rPr>
        <w:tab/>
      </w:r>
      <w:r w:rsidRPr="001609EC">
        <w:rPr>
          <w:rFonts w:ascii="Calibri" w:hAnsi="Calibri" w:cs="Calibri"/>
          <w:color w:val="000000"/>
          <w:kern w:val="0"/>
          <w:sz w:val="22"/>
          <w:szCs w:val="22"/>
        </w:rPr>
        <w:tab/>
      </w:r>
    </w:p>
    <w:p w14:paraId="4E048710" w14:textId="77777777" w:rsidR="00675A1A" w:rsidRDefault="00675A1A" w:rsidP="00675A1A">
      <w:pPr>
        <w:spacing w:line="240" w:lineRule="auto"/>
        <w:ind w:left="-709" w:firstLine="709"/>
        <w:rPr>
          <w:rFonts w:ascii="Calibri" w:hAnsi="Calibri" w:cs="Calibri"/>
          <w:color w:val="000000"/>
          <w:kern w:val="0"/>
          <w:sz w:val="22"/>
          <w:szCs w:val="22"/>
        </w:rPr>
      </w:pPr>
    </w:p>
    <w:p w14:paraId="0739C3B6" w14:textId="77777777" w:rsidR="00675A1A" w:rsidRDefault="00675A1A" w:rsidP="00675A1A">
      <w:pPr>
        <w:spacing w:line="240" w:lineRule="auto"/>
        <w:ind w:left="-709" w:firstLine="709"/>
        <w:rPr>
          <w:rFonts w:ascii="Calibri" w:hAnsi="Calibri" w:cs="Calibri"/>
          <w:color w:val="000000"/>
          <w:kern w:val="0"/>
          <w:sz w:val="22"/>
          <w:szCs w:val="22"/>
        </w:rPr>
      </w:pPr>
    </w:p>
    <w:p w14:paraId="3706FC59" w14:textId="77777777" w:rsidR="00675A1A" w:rsidRDefault="00675A1A" w:rsidP="00675A1A">
      <w:pPr>
        <w:spacing w:line="240" w:lineRule="auto"/>
        <w:ind w:left="-709" w:firstLine="709"/>
        <w:rPr>
          <w:rFonts w:ascii="Calibri" w:hAnsi="Calibri" w:cs="Calibri"/>
          <w:color w:val="000000"/>
          <w:kern w:val="0"/>
          <w:sz w:val="22"/>
          <w:szCs w:val="22"/>
        </w:rPr>
      </w:pPr>
    </w:p>
    <w:p w14:paraId="7E12E7C7" w14:textId="4E15D7DC" w:rsidR="00675A1A" w:rsidRPr="001609EC" w:rsidRDefault="00675A1A" w:rsidP="00675A1A">
      <w:pPr>
        <w:spacing w:line="240" w:lineRule="auto"/>
        <w:ind w:left="-709" w:firstLine="709"/>
        <w:rPr>
          <w:rFonts w:ascii="Times New Roman" w:hAnsi="Times New Roman"/>
          <w:kern w:val="0"/>
        </w:rPr>
      </w:pPr>
      <w:r w:rsidRPr="001609EC">
        <w:rPr>
          <w:rFonts w:ascii="Calibri" w:hAnsi="Calibri" w:cs="Calibri"/>
          <w:color w:val="000000"/>
          <w:kern w:val="0"/>
          <w:sz w:val="22"/>
          <w:szCs w:val="22"/>
        </w:rPr>
        <w:tab/>
      </w:r>
      <w:r w:rsidRPr="001609EC">
        <w:rPr>
          <w:rFonts w:ascii="Calibri" w:hAnsi="Calibri" w:cs="Calibri"/>
          <w:color w:val="000000"/>
          <w:kern w:val="0"/>
          <w:sz w:val="22"/>
          <w:szCs w:val="22"/>
        </w:rPr>
        <w:tab/>
      </w:r>
      <w:r>
        <w:rPr>
          <w:noProof/>
        </w:rPr>
        <w:drawing>
          <wp:anchor distT="0" distB="0" distL="114300" distR="114300" simplePos="0" relativeHeight="251659264" behindDoc="0" locked="0" layoutInCell="1" allowOverlap="1" wp14:anchorId="6CEAE4A4" wp14:editId="34C3723D">
            <wp:simplePos x="0" y="0"/>
            <wp:positionH relativeFrom="margin">
              <wp:align>left</wp:align>
            </wp:positionH>
            <wp:positionV relativeFrom="margin">
              <wp:align>top</wp:align>
            </wp:positionV>
            <wp:extent cx="1628775" cy="1150620"/>
            <wp:effectExtent l="0" t="0" r="0" b="0"/>
            <wp:wrapSquare wrapText="bothSides"/>
            <wp:docPr id="1774491567" name="Picture 4" descr="A black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50620"/>
                    </a:xfrm>
                    <a:prstGeom prst="rect">
                      <a:avLst/>
                    </a:prstGeom>
                    <a:noFill/>
                  </pic:spPr>
                </pic:pic>
              </a:graphicData>
            </a:graphic>
            <wp14:sizeRelH relativeFrom="page">
              <wp14:pctWidth>0</wp14:pctWidth>
            </wp14:sizeRelH>
            <wp14:sizeRelV relativeFrom="page">
              <wp14:pctHeight>0</wp14:pctHeight>
            </wp14:sizeRelV>
          </wp:anchor>
        </w:drawing>
      </w:r>
      <w:r w:rsidRPr="001609EC">
        <w:rPr>
          <w:rFonts w:ascii="Calibri" w:hAnsi="Calibri" w:cs="Calibri"/>
          <w:color w:val="000000"/>
          <w:kern w:val="0"/>
          <w:sz w:val="22"/>
          <w:szCs w:val="22"/>
        </w:rPr>
        <w:tab/>
      </w:r>
      <w:r w:rsidRPr="001609EC">
        <w:rPr>
          <w:rFonts w:ascii="Calibri" w:hAnsi="Calibri" w:cs="Calibri"/>
          <w:color w:val="000000"/>
          <w:kern w:val="0"/>
          <w:sz w:val="22"/>
          <w:szCs w:val="22"/>
        </w:rPr>
        <w:tab/>
      </w:r>
    </w:p>
    <w:tbl>
      <w:tblPr>
        <w:tblW w:w="0" w:type="auto"/>
        <w:tblCellMar>
          <w:top w:w="15" w:type="dxa"/>
          <w:left w:w="15" w:type="dxa"/>
          <w:bottom w:w="15" w:type="dxa"/>
          <w:right w:w="15" w:type="dxa"/>
        </w:tblCellMar>
        <w:tblLook w:val="04A0" w:firstRow="1" w:lastRow="0" w:firstColumn="1" w:lastColumn="0" w:noHBand="0" w:noVBand="1"/>
      </w:tblPr>
      <w:tblGrid>
        <w:gridCol w:w="2779"/>
        <w:gridCol w:w="2419"/>
        <w:gridCol w:w="4044"/>
      </w:tblGrid>
      <w:tr w:rsidR="00675A1A" w14:paraId="20B23213" w14:textId="77777777" w:rsidTr="00DE6727">
        <w:trPr>
          <w:trHeight w:val="47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2C73D" w14:textId="252E1605" w:rsidR="00675A1A" w:rsidRDefault="00675A1A" w:rsidP="00DE6727">
            <w:pPr>
              <w:spacing w:after="0" w:line="240" w:lineRule="auto"/>
              <w:rPr>
                <w:rFonts w:ascii="Times New Roman" w:hAnsi="Times New Roman"/>
                <w:kern w:val="0"/>
              </w:rPr>
            </w:pPr>
            <w:r>
              <w:rPr>
                <w:rFonts w:ascii="Calibri" w:hAnsi="Calibri" w:cs="Calibri"/>
                <w:color w:val="000000"/>
                <w:kern w:val="0"/>
              </w:rPr>
              <w:t xml:space="preserve">Stan na dzień </w:t>
            </w:r>
            <w:r w:rsidR="00BA1791">
              <w:rPr>
                <w:rFonts w:ascii="Calibri" w:hAnsi="Calibri" w:cs="Calibri"/>
                <w:color w:val="000000"/>
                <w:kern w:val="0"/>
              </w:rPr>
              <w:t>12</w:t>
            </w:r>
            <w:r>
              <w:rPr>
                <w:rFonts w:ascii="Calibri" w:hAnsi="Calibri" w:cs="Calibri"/>
                <w:color w:val="000000"/>
                <w:kern w:val="0"/>
              </w:rPr>
              <w:t>.0</w:t>
            </w:r>
            <w:r w:rsidR="00BA1791">
              <w:rPr>
                <w:rFonts w:ascii="Calibri" w:hAnsi="Calibri" w:cs="Calibri"/>
                <w:color w:val="000000"/>
                <w:kern w:val="0"/>
              </w:rPr>
              <w:t>6</w:t>
            </w:r>
            <w:r>
              <w:rPr>
                <w:rFonts w:ascii="Calibri" w:hAnsi="Calibri" w:cs="Calibri"/>
                <w:color w:val="000000"/>
                <w:kern w:val="0"/>
              </w:rPr>
              <w:t>.2026 r.</w:t>
            </w:r>
          </w:p>
        </w:tc>
      </w:tr>
      <w:tr w:rsidR="00675A1A" w14:paraId="120FFAAD" w14:textId="77777777" w:rsidTr="00DE6727">
        <w:trPr>
          <w:trHeight w:val="28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37BE3E" w14:textId="77777777" w:rsidR="00675A1A" w:rsidRDefault="00675A1A" w:rsidP="00DE6727">
            <w:pPr>
              <w:spacing w:after="0" w:line="240" w:lineRule="auto"/>
              <w:jc w:val="center"/>
              <w:rPr>
                <w:rFonts w:ascii="Times New Roman" w:hAnsi="Times New Roman"/>
                <w:kern w:val="0"/>
              </w:rPr>
            </w:pPr>
            <w:r>
              <w:rPr>
                <w:rFonts w:ascii="Calibri" w:hAnsi="Calibri" w:cs="Calibri"/>
                <w:b/>
                <w:bCs/>
                <w:color w:val="000000"/>
                <w:kern w:val="0"/>
              </w:rPr>
              <w:t>PROSPEKT INFORMACYJNY</w:t>
            </w:r>
          </w:p>
          <w:p w14:paraId="488A4B55" w14:textId="77777777" w:rsidR="00675A1A" w:rsidRDefault="00675A1A" w:rsidP="00DE6727">
            <w:pPr>
              <w:spacing w:after="0" w:line="240" w:lineRule="auto"/>
              <w:jc w:val="center"/>
              <w:rPr>
                <w:rFonts w:ascii="Times New Roman" w:hAnsi="Times New Roman"/>
                <w:kern w:val="0"/>
              </w:rPr>
            </w:pPr>
            <w:r>
              <w:rPr>
                <w:rFonts w:ascii="Calibri" w:hAnsi="Calibri" w:cs="Calibri"/>
                <w:b/>
                <w:bCs/>
                <w:color w:val="000000"/>
                <w:kern w:val="0"/>
              </w:rPr>
              <w:t>DLA PRZEDSIĘWZIĘCIA DEWELOPERSKIEGO</w:t>
            </w:r>
          </w:p>
          <w:p w14:paraId="7C78CAA0" w14:textId="77777777" w:rsidR="00675A1A" w:rsidRDefault="00675A1A" w:rsidP="00DE6727">
            <w:pPr>
              <w:spacing w:after="0" w:line="240" w:lineRule="auto"/>
              <w:rPr>
                <w:rFonts w:ascii="Times New Roman" w:hAnsi="Times New Roman"/>
                <w:kern w:val="0"/>
              </w:rPr>
            </w:pPr>
          </w:p>
          <w:p w14:paraId="410258A8" w14:textId="77777777" w:rsidR="00675A1A" w:rsidRDefault="00675A1A" w:rsidP="00DE6727">
            <w:pPr>
              <w:spacing w:after="0" w:line="240" w:lineRule="auto"/>
              <w:jc w:val="center"/>
              <w:rPr>
                <w:rFonts w:ascii="Calibri" w:hAnsi="Calibri" w:cs="Calibri"/>
                <w:color w:val="000000"/>
                <w:kern w:val="0"/>
              </w:rPr>
            </w:pPr>
            <w:r>
              <w:rPr>
                <w:rFonts w:ascii="Calibri" w:hAnsi="Calibri" w:cs="Calibri"/>
                <w:color w:val="000000"/>
                <w:kern w:val="0"/>
              </w:rPr>
              <w:t>BUDOWA DWÓCH ZESPOŁÓW: 3 i 8 BUDYNKÓW MIESZKALNYCH JEDNORODZINNYCH, DWULOKALOWYCH, W ZABUDOWIE SZEREGOWEJ WRAZ Z ELEMENTAMI INFRASTRUKTURY TECHNICZNEJ: WEW. LINIAMI ZASILAJĄCYMI ELEKTROENERGETYCZNYMI NA DZ. NR 2/61 i 2/62, AM-88, OBRĘB 021501_1.0003 OŁAWA, JEDNOSTKA EWIDENCYJNA 021501_1 OŁAWA</w:t>
            </w:r>
          </w:p>
        </w:tc>
      </w:tr>
      <w:tr w:rsidR="00675A1A" w14:paraId="37882316" w14:textId="77777777" w:rsidTr="00DE6727">
        <w:trPr>
          <w:trHeight w:val="631"/>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089E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CZĘŚĆ OGÓLNA</w:t>
            </w:r>
          </w:p>
        </w:tc>
      </w:tr>
      <w:tr w:rsidR="00675A1A" w14:paraId="0F1FFF19" w14:textId="77777777" w:rsidTr="00DE6727">
        <w:trPr>
          <w:trHeight w:val="6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6E29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I. DANE IDENTYFIKACYJNE I KONTAKTOWE DOTYCZĄCE DEWELOPERA</w:t>
            </w:r>
          </w:p>
        </w:tc>
      </w:tr>
      <w:tr w:rsidR="00675A1A" w14:paraId="1FCBF33F" w14:textId="77777777" w:rsidTr="00DE6727">
        <w:trPr>
          <w:trHeight w:val="70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1B2DF"/>
            <w:tcMar>
              <w:top w:w="0" w:type="dxa"/>
              <w:left w:w="108" w:type="dxa"/>
              <w:bottom w:w="0" w:type="dxa"/>
              <w:right w:w="108" w:type="dxa"/>
            </w:tcMar>
            <w:vAlign w:val="center"/>
            <w:hideMark/>
          </w:tcPr>
          <w:p w14:paraId="598A0AC4"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t>DANE DEWELOPERA</w:t>
            </w:r>
          </w:p>
        </w:tc>
      </w:tr>
      <w:tr w:rsidR="00675A1A" w14:paraId="66B34BDD" w14:textId="77777777" w:rsidTr="00DE6727">
        <w:trPr>
          <w:trHeight w:val="87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E3F7CE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Deweloper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4233" w14:textId="77777777" w:rsidR="00675A1A" w:rsidRPr="00E837DA" w:rsidRDefault="00675A1A" w:rsidP="00DE6727">
            <w:pPr>
              <w:shd w:val="clear" w:color="auto" w:fill="FFFFFF"/>
              <w:spacing w:before="30" w:after="0" w:line="240" w:lineRule="auto"/>
              <w:ind w:left="-2" w:hanging="2"/>
              <w:rPr>
                <w:rFonts w:ascii="Times New Roman" w:hAnsi="Times New Roman"/>
                <w:color w:val="000000" w:themeColor="text1"/>
                <w:kern w:val="0"/>
              </w:rPr>
            </w:pPr>
            <w:r w:rsidRPr="00E837DA">
              <w:rPr>
                <w:rFonts w:ascii="Calibri" w:hAnsi="Calibri" w:cs="Calibri"/>
                <w:b/>
                <w:bCs/>
                <w:color w:val="000000" w:themeColor="text1"/>
                <w:kern w:val="0"/>
              </w:rPr>
              <w:t>ALLOTMENT 2/12 WIESŁAW MYSZAK &amp; PARTNERS SPÓŁKA KOMANDYTOWA</w:t>
            </w:r>
          </w:p>
          <w:p w14:paraId="6FA34C4E" w14:textId="77777777" w:rsidR="00675A1A" w:rsidRPr="00805301" w:rsidRDefault="00675A1A" w:rsidP="00DE6727">
            <w:pPr>
              <w:spacing w:after="0" w:line="240" w:lineRule="auto"/>
              <w:rPr>
                <w:rFonts w:ascii="Times New Roman" w:hAnsi="Times New Roman"/>
                <w:color w:val="EE0000"/>
                <w:kern w:val="0"/>
              </w:rPr>
            </w:pPr>
            <w:r w:rsidRPr="00E837DA">
              <w:rPr>
                <w:rFonts w:ascii="Calibri" w:hAnsi="Calibri" w:cs="Calibri"/>
                <w:color w:val="000000" w:themeColor="text1"/>
                <w:kern w:val="0"/>
              </w:rPr>
              <w:t>KRS 0000667843</w:t>
            </w:r>
          </w:p>
        </w:tc>
      </w:tr>
      <w:tr w:rsidR="00675A1A" w14:paraId="38158C41" w14:textId="77777777" w:rsidTr="00DE6727">
        <w:trPr>
          <w:trHeight w:val="4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723D1F" w14:textId="77777777" w:rsidR="00675A1A" w:rsidRDefault="00675A1A" w:rsidP="00DE6727">
            <w:pPr>
              <w:spacing w:after="0" w:line="240" w:lineRule="auto"/>
              <w:rPr>
                <w:rFonts w:ascii="Times New Roman" w:hAnsi="Times New Roman"/>
                <w:kern w:val="0"/>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9F8DF3" w14:textId="77777777" w:rsidR="00675A1A" w:rsidRDefault="00675A1A" w:rsidP="00DE6727">
            <w:pPr>
              <w:shd w:val="clear" w:color="auto" w:fill="FFFFFF"/>
              <w:spacing w:before="30" w:after="0" w:line="240" w:lineRule="auto"/>
              <w:ind w:left="-2" w:hanging="2"/>
              <w:rPr>
                <w:rFonts w:ascii="Times New Roman" w:hAnsi="Times New Roman"/>
                <w:kern w:val="0"/>
              </w:rPr>
            </w:pPr>
            <w:r>
              <w:rPr>
                <w:rFonts w:ascii="Calibri" w:hAnsi="Calibri" w:cs="Calibri"/>
                <w:color w:val="000000"/>
                <w:kern w:val="0"/>
                <w:sz w:val="18"/>
                <w:szCs w:val="18"/>
              </w:rPr>
              <w:t xml:space="preserve">Dane identyfikacyjne (firma, forma prawna, numer KRS lub numer wpisu do </w:t>
            </w:r>
            <w:proofErr w:type="spellStart"/>
            <w:r>
              <w:rPr>
                <w:rFonts w:ascii="Calibri" w:hAnsi="Calibri" w:cs="Calibri"/>
                <w:color w:val="000000"/>
                <w:kern w:val="0"/>
                <w:sz w:val="18"/>
                <w:szCs w:val="18"/>
              </w:rPr>
              <w:t>CEiDG</w:t>
            </w:r>
            <w:proofErr w:type="spellEnd"/>
            <w:r>
              <w:rPr>
                <w:rFonts w:ascii="Calibri" w:hAnsi="Calibri" w:cs="Calibri"/>
                <w:color w:val="000000"/>
                <w:kern w:val="0"/>
                <w:sz w:val="18"/>
                <w:szCs w:val="18"/>
              </w:rPr>
              <w:t>)</w:t>
            </w:r>
          </w:p>
        </w:tc>
      </w:tr>
      <w:tr w:rsidR="00675A1A" w14:paraId="228A3F61" w14:textId="77777777" w:rsidTr="00DE6727">
        <w:trPr>
          <w:trHeight w:val="59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DB25F7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Adres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47D58" w14:textId="77777777" w:rsidR="00675A1A" w:rsidRPr="00553821" w:rsidRDefault="00675A1A" w:rsidP="00DE6727">
            <w:pPr>
              <w:spacing w:after="0" w:line="240" w:lineRule="auto"/>
              <w:rPr>
                <w:rFonts w:ascii="Calibri" w:hAnsi="Calibri" w:cs="Calibri"/>
                <w:color w:val="000000"/>
                <w:kern w:val="0"/>
                <w:sz w:val="22"/>
                <w:szCs w:val="22"/>
              </w:rPr>
            </w:pPr>
            <w:r w:rsidRPr="00553821">
              <w:rPr>
                <w:rFonts w:ascii="Calibri" w:hAnsi="Calibri" w:cs="Calibri"/>
                <w:color w:val="000000"/>
                <w:kern w:val="0"/>
                <w:sz w:val="22"/>
                <w:szCs w:val="22"/>
              </w:rPr>
              <w:t>Siedziba: 53-413 WROCŁAW, UL. GWIAŹDZISTA 10/10</w:t>
            </w:r>
          </w:p>
          <w:p w14:paraId="5A496625" w14:textId="77777777" w:rsidR="00675A1A" w:rsidRDefault="00675A1A" w:rsidP="00DE6727">
            <w:pPr>
              <w:spacing w:after="0" w:line="240" w:lineRule="auto"/>
              <w:rPr>
                <w:rFonts w:ascii="Calibri" w:hAnsi="Calibri" w:cs="Calibri"/>
                <w:kern w:val="0"/>
                <w:sz w:val="22"/>
                <w:szCs w:val="22"/>
              </w:rPr>
            </w:pPr>
            <w:r w:rsidRPr="00553821">
              <w:rPr>
                <w:rFonts w:ascii="Calibri" w:hAnsi="Calibri" w:cs="Calibri"/>
                <w:kern w:val="0"/>
                <w:sz w:val="22"/>
                <w:szCs w:val="22"/>
              </w:rPr>
              <w:t>Biuro sprzedaży: 55-010 Radwanice ul. Gałczyńskiego 2/10</w:t>
            </w:r>
          </w:p>
          <w:p w14:paraId="4CE076BA" w14:textId="77777777" w:rsidR="00675A1A" w:rsidRPr="00C82EE0" w:rsidRDefault="00675A1A" w:rsidP="00DE6727">
            <w:pPr>
              <w:spacing w:after="0" w:line="240" w:lineRule="auto"/>
              <w:rPr>
                <w:rFonts w:ascii="Calibri" w:hAnsi="Calibri" w:cs="Calibri"/>
                <w:kern w:val="0"/>
                <w:sz w:val="22"/>
                <w:szCs w:val="22"/>
              </w:rPr>
            </w:pPr>
          </w:p>
          <w:p w14:paraId="5A379CE1" w14:textId="77777777" w:rsidR="00675A1A" w:rsidRPr="005F2E1B" w:rsidRDefault="00675A1A" w:rsidP="00DE6727">
            <w:pPr>
              <w:spacing w:after="0" w:line="240" w:lineRule="auto"/>
              <w:rPr>
                <w:rFonts w:ascii="Times New Roman" w:hAnsi="Times New Roman"/>
                <w:kern w:val="0"/>
                <w:sz w:val="22"/>
                <w:szCs w:val="22"/>
              </w:rPr>
            </w:pPr>
          </w:p>
        </w:tc>
      </w:tr>
      <w:tr w:rsidR="00675A1A" w14:paraId="031F945C" w14:textId="77777777" w:rsidTr="00DE6727">
        <w:trPr>
          <w:trHeight w:val="5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AE2556" w14:textId="77777777" w:rsidR="00675A1A" w:rsidRDefault="00675A1A" w:rsidP="00DE6727">
            <w:pPr>
              <w:spacing w:after="0" w:line="240" w:lineRule="auto"/>
              <w:rPr>
                <w:rFonts w:ascii="Times New Roman" w:hAnsi="Times New Roman"/>
                <w:kern w:val="0"/>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B177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18"/>
                <w:szCs w:val="18"/>
              </w:rPr>
              <w:t>(Adres miejsca wykonywania działalności gospodarczej, adres siedziby i adres punktów, w których jest przedstawiana oferta lokali mieszkalnych)</w:t>
            </w:r>
          </w:p>
        </w:tc>
      </w:tr>
      <w:tr w:rsidR="00675A1A" w14:paraId="633574DE" w14:textId="77777777" w:rsidTr="00DE6727">
        <w:trPr>
          <w:trHeight w:val="555"/>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D8B516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Numer NIP I REGON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DECC8" w14:textId="77777777" w:rsidR="00675A1A" w:rsidRPr="00553821" w:rsidRDefault="00675A1A" w:rsidP="00DE6727">
            <w:pPr>
              <w:spacing w:after="0" w:line="240" w:lineRule="auto"/>
              <w:rPr>
                <w:rFonts w:ascii="Times New Roman" w:hAnsi="Times New Roman"/>
                <w:color w:val="000000" w:themeColor="text1"/>
                <w:kern w:val="0"/>
                <w:sz w:val="20"/>
                <w:szCs w:val="20"/>
              </w:rPr>
            </w:pPr>
            <w:r w:rsidRPr="00553821">
              <w:rPr>
                <w:rFonts w:ascii="Calibri" w:hAnsi="Calibri" w:cs="Calibri"/>
                <w:color w:val="000000" w:themeColor="text1"/>
                <w:kern w:val="0"/>
                <w:sz w:val="20"/>
                <w:szCs w:val="20"/>
              </w:rPr>
              <w:t>8992812454 (NIP)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1667C" w14:textId="77777777" w:rsidR="00675A1A" w:rsidRPr="00553821" w:rsidRDefault="00675A1A" w:rsidP="00DE6727">
            <w:pPr>
              <w:spacing w:after="0" w:line="240" w:lineRule="auto"/>
              <w:rPr>
                <w:rFonts w:ascii="Times New Roman" w:hAnsi="Times New Roman"/>
                <w:color w:val="000000" w:themeColor="text1"/>
                <w:kern w:val="0"/>
                <w:sz w:val="20"/>
                <w:szCs w:val="20"/>
              </w:rPr>
            </w:pPr>
            <w:r w:rsidRPr="00553821">
              <w:rPr>
                <w:rFonts w:ascii="Calibri" w:hAnsi="Calibri" w:cs="Calibri"/>
                <w:color w:val="000000" w:themeColor="text1"/>
                <w:kern w:val="0"/>
                <w:sz w:val="20"/>
                <w:szCs w:val="20"/>
              </w:rPr>
              <w:t>366782358 (REGON)</w:t>
            </w:r>
          </w:p>
        </w:tc>
      </w:tr>
      <w:tr w:rsidR="00675A1A" w14:paraId="41FD7E57" w14:textId="77777777" w:rsidTr="00DE6727">
        <w:trPr>
          <w:trHeight w:val="549"/>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4D14FF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Numer telefonu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F5EFC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+ 48 728 728 160</w:t>
            </w:r>
          </w:p>
        </w:tc>
      </w:tr>
      <w:tr w:rsidR="00675A1A" w14:paraId="25C759E3" w14:textId="77777777" w:rsidTr="00DE6727">
        <w:trPr>
          <w:trHeight w:val="557"/>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34E4948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Adres poczty elektronicznej</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23502B"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sprzedaz@modernhomes.pl</w:t>
            </w:r>
          </w:p>
        </w:tc>
      </w:tr>
      <w:tr w:rsidR="00675A1A" w14:paraId="7785A0A5" w14:textId="77777777" w:rsidTr="00DE6727">
        <w:trPr>
          <w:trHeight w:val="551"/>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BD0324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Numer faksu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24CAD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BRAK</w:t>
            </w:r>
          </w:p>
        </w:tc>
      </w:tr>
      <w:tr w:rsidR="00675A1A" w14:paraId="4A3AD344" w14:textId="77777777" w:rsidTr="00DE6727">
        <w:trPr>
          <w:trHeight w:val="842"/>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5C70C94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Adres strony internetowej dewelopera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6CC5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www.modernhomes.pl</w:t>
            </w:r>
          </w:p>
        </w:tc>
      </w:tr>
      <w:tr w:rsidR="00675A1A" w14:paraId="029C6008" w14:textId="77777777" w:rsidTr="00DE6727">
        <w:trPr>
          <w:trHeight w:val="72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C7BCA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lastRenderedPageBreak/>
              <w:t>II. DOŚWIADCZENIE DEWELOPERA</w:t>
            </w:r>
          </w:p>
        </w:tc>
      </w:tr>
      <w:tr w:rsidR="00675A1A" w14:paraId="1F77A954" w14:textId="77777777" w:rsidTr="00DE6727">
        <w:trPr>
          <w:trHeight w:val="409"/>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hideMark/>
          </w:tcPr>
          <w:p w14:paraId="441CC9D4" w14:textId="77777777" w:rsidR="00675A1A" w:rsidRPr="00805301" w:rsidRDefault="00675A1A" w:rsidP="00DE6727">
            <w:pPr>
              <w:spacing w:after="0" w:line="240" w:lineRule="auto"/>
              <w:rPr>
                <w:rFonts w:ascii="Times New Roman" w:hAnsi="Times New Roman"/>
                <w:kern w:val="0"/>
              </w:rPr>
            </w:pPr>
            <w:r w:rsidRPr="00805301">
              <w:rPr>
                <w:rFonts w:ascii="Calibri" w:hAnsi="Calibri" w:cs="Calibri"/>
                <w:kern w:val="0"/>
              </w:rPr>
              <w:t>HISTORIA I UDOKUMENTOWANE DOŚWIADCZENIE DEWELOPERA</w:t>
            </w:r>
          </w:p>
        </w:tc>
      </w:tr>
      <w:tr w:rsidR="00675A1A" w14:paraId="6C3B621C" w14:textId="77777777" w:rsidTr="00DE6727">
        <w:trPr>
          <w:trHeight w:val="1123"/>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vAlign w:val="center"/>
            <w:hideMark/>
          </w:tcPr>
          <w:p w14:paraId="4CA7C7CB" w14:textId="77777777" w:rsidR="00675A1A" w:rsidRPr="00805301" w:rsidRDefault="00675A1A" w:rsidP="00DE6727">
            <w:pPr>
              <w:spacing w:after="0" w:line="240" w:lineRule="auto"/>
              <w:rPr>
                <w:rFonts w:ascii="Times New Roman" w:hAnsi="Times New Roman"/>
                <w:kern w:val="0"/>
              </w:rPr>
            </w:pPr>
            <w:r w:rsidRPr="00E837DA">
              <w:rPr>
                <w:rFonts w:ascii="Calibri" w:hAnsi="Calibri" w:cs="Calibri"/>
                <w:color w:val="000000" w:themeColor="text1"/>
                <w:kern w:val="0"/>
              </w:rPr>
              <w:t>Spółka rozpoczęła działalność 2</w:t>
            </w:r>
            <w:r>
              <w:rPr>
                <w:rFonts w:ascii="Calibri" w:hAnsi="Calibri" w:cs="Calibri"/>
                <w:color w:val="000000" w:themeColor="text1"/>
                <w:kern w:val="0"/>
              </w:rPr>
              <w:t>1</w:t>
            </w:r>
            <w:r w:rsidRPr="00E837DA">
              <w:rPr>
                <w:rFonts w:ascii="Calibri" w:hAnsi="Calibri" w:cs="Calibri"/>
                <w:color w:val="000000" w:themeColor="text1"/>
                <w:kern w:val="0"/>
              </w:rPr>
              <w:t xml:space="preserve">.02.2017 roku. </w:t>
            </w:r>
            <w:r w:rsidRPr="00805301">
              <w:rPr>
                <w:rFonts w:ascii="Calibri" w:hAnsi="Calibri" w:cs="Calibri"/>
                <w:kern w:val="0"/>
              </w:rPr>
              <w:t>Do tego czasu wspólnik spółki </w:t>
            </w:r>
          </w:p>
          <w:p w14:paraId="5BA88D23" w14:textId="77777777" w:rsidR="00675A1A" w:rsidRPr="00805301" w:rsidRDefault="00675A1A" w:rsidP="00DE6727">
            <w:pPr>
              <w:spacing w:after="0" w:line="240" w:lineRule="auto"/>
              <w:rPr>
                <w:rFonts w:ascii="Times New Roman" w:hAnsi="Times New Roman"/>
                <w:kern w:val="0"/>
              </w:rPr>
            </w:pPr>
            <w:r w:rsidRPr="00805301">
              <w:rPr>
                <w:rFonts w:ascii="Calibri" w:hAnsi="Calibri" w:cs="Calibri"/>
                <w:kern w:val="0"/>
              </w:rPr>
              <w:t>- Mieczysław Myszak, ukończył następujące przedsięwzięcia deweloperskie – budowy budynków jednorodzinnych mieszkalnych w zabudowach bliźniaczych i szeregowych:</w:t>
            </w:r>
          </w:p>
        </w:tc>
      </w:tr>
      <w:tr w:rsidR="00675A1A" w14:paraId="6D58D546" w14:textId="77777777" w:rsidTr="00DE6727">
        <w:trPr>
          <w:trHeight w:val="1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3D2FC9AD"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t xml:space="preserve">Wspólnik Spółki – Mieczysław Myszak, </w:t>
            </w:r>
            <w:r>
              <w:rPr>
                <w:rFonts w:ascii="Calibri" w:hAnsi="Calibri" w:cs="Calibri"/>
                <w:color w:val="000000"/>
                <w:kern w:val="0"/>
              </w:rPr>
              <w:t xml:space="preserve">w ramach spółki </w:t>
            </w:r>
            <w:proofErr w:type="spellStart"/>
            <w:r w:rsidRPr="00965F80">
              <w:rPr>
                <w:rFonts w:ascii="Calibri" w:hAnsi="Calibri" w:cs="Calibri"/>
                <w:b/>
                <w:bCs/>
                <w:kern w:val="0"/>
              </w:rPr>
              <w:t>Allotment</w:t>
            </w:r>
            <w:proofErr w:type="spellEnd"/>
            <w:r w:rsidRPr="00965F80">
              <w:rPr>
                <w:rFonts w:ascii="Calibri" w:hAnsi="Calibri" w:cs="Calibri"/>
                <w:b/>
                <w:bCs/>
                <w:kern w:val="0"/>
              </w:rPr>
              <w:t xml:space="preserve"> 2/12 sp. z o. o. sp. kom</w:t>
            </w:r>
            <w:r>
              <w:rPr>
                <w:rFonts w:ascii="Calibri" w:hAnsi="Calibri" w:cs="Calibri"/>
                <w:b/>
                <w:bCs/>
                <w:kern w:val="0"/>
              </w:rPr>
              <w:t>.</w:t>
            </w:r>
            <w:r w:rsidRPr="00965F80">
              <w:rPr>
                <w:rFonts w:ascii="Calibri" w:hAnsi="Calibri" w:cs="Calibri"/>
                <w:b/>
                <w:bCs/>
                <w:kern w:val="0"/>
              </w:rPr>
              <w:t>,</w:t>
            </w:r>
            <w:r w:rsidRPr="00965F80">
              <w:rPr>
                <w:rFonts w:ascii="Calibri" w:hAnsi="Calibri" w:cs="Calibri"/>
                <w:kern w:val="0"/>
              </w:rPr>
              <w:t xml:space="preserve"> </w:t>
            </w:r>
            <w:r>
              <w:rPr>
                <w:rFonts w:ascii="Calibri" w:hAnsi="Calibri" w:cs="Calibri"/>
                <w:color w:val="000000"/>
                <w:kern w:val="0"/>
              </w:rPr>
              <w:t>zrealizował i ukończył przedsięwzięcie deweloperskie – budowę 4 budynków mieszkalnych jednorodzinnych dwulokalowych w zabudowie szeregowej, przekazując właścicielom 8 lokali mieszkalnych.</w:t>
            </w:r>
          </w:p>
        </w:tc>
      </w:tr>
      <w:tr w:rsidR="00675A1A" w14:paraId="1ABEEC67" w14:textId="77777777" w:rsidTr="00DE6727">
        <w:trPr>
          <w:trHeight w:val="668"/>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03FAE00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Adres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25C3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OŁAWA, UL. CEDROWA nr 46-60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88FBC" w14:textId="77777777" w:rsidR="00675A1A" w:rsidRDefault="00675A1A" w:rsidP="00DE6727">
            <w:pPr>
              <w:spacing w:after="0" w:line="240" w:lineRule="auto"/>
              <w:jc w:val="center"/>
              <w:rPr>
                <w:rFonts w:ascii="Times New Roman" w:hAnsi="Times New Roman"/>
                <w:kern w:val="0"/>
              </w:rPr>
            </w:pPr>
            <w:r>
              <w:rPr>
                <w:rFonts w:ascii="Calibri" w:hAnsi="Calibri" w:cs="Calibri"/>
                <w:noProof/>
                <w:color w:val="000000"/>
                <w:kern w:val="0"/>
                <w:sz w:val="22"/>
                <w:szCs w:val="22"/>
                <w:bdr w:val="none" w:sz="0" w:space="0" w:color="auto" w:frame="1"/>
              </w:rPr>
              <w:drawing>
                <wp:inline distT="0" distB="0" distL="0" distR="0" wp14:anchorId="128761E5" wp14:editId="6EC34663">
                  <wp:extent cx="1873250" cy="121920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0" cy="1219200"/>
                          </a:xfrm>
                          <a:prstGeom prst="rect">
                            <a:avLst/>
                          </a:prstGeom>
                          <a:noFill/>
                          <a:ln>
                            <a:noFill/>
                          </a:ln>
                        </pic:spPr>
                      </pic:pic>
                    </a:graphicData>
                  </a:graphic>
                </wp:inline>
              </w:drawing>
            </w:r>
          </w:p>
        </w:tc>
      </w:tr>
      <w:tr w:rsidR="00675A1A" w14:paraId="638BC48A" w14:textId="77777777" w:rsidTr="00DE6727">
        <w:trPr>
          <w:trHeight w:val="549"/>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97FDB6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Data rozpoczęcia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FAEF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30.10.</w:t>
            </w:r>
            <w:proofErr w:type="gramStart"/>
            <w:r>
              <w:rPr>
                <w:rFonts w:ascii="Calibri" w:hAnsi="Calibri" w:cs="Calibri"/>
                <w:color w:val="000000"/>
                <w:kern w:val="0"/>
              </w:rPr>
              <w:t>2018r.</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B72ED0" w14:textId="77777777" w:rsidR="00675A1A" w:rsidRDefault="00675A1A" w:rsidP="00DE6727">
            <w:pPr>
              <w:spacing w:after="0" w:line="240" w:lineRule="auto"/>
              <w:rPr>
                <w:rFonts w:ascii="Times New Roman" w:hAnsi="Times New Roman"/>
                <w:kern w:val="0"/>
              </w:rPr>
            </w:pPr>
          </w:p>
        </w:tc>
      </w:tr>
      <w:tr w:rsidR="00675A1A" w14:paraId="0ED561CF" w14:textId="77777777" w:rsidTr="00DE672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03FFE05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Data wydania decyzji o pozwoleniu na użytkowanie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4D326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17.02.</w:t>
            </w:r>
            <w:proofErr w:type="gramStart"/>
            <w:r>
              <w:rPr>
                <w:rFonts w:ascii="Calibri" w:hAnsi="Calibri" w:cs="Calibri"/>
                <w:color w:val="000000"/>
                <w:kern w:val="0"/>
              </w:rPr>
              <w:t>2021r.</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39559" w14:textId="77777777" w:rsidR="00675A1A" w:rsidRDefault="00675A1A" w:rsidP="00DE6727">
            <w:pPr>
              <w:spacing w:after="0" w:line="240" w:lineRule="auto"/>
              <w:rPr>
                <w:rFonts w:ascii="Times New Roman" w:hAnsi="Times New Roman"/>
                <w:kern w:val="0"/>
              </w:rPr>
            </w:pPr>
          </w:p>
        </w:tc>
      </w:tr>
      <w:tr w:rsidR="00675A1A" w14:paraId="05229827" w14:textId="77777777" w:rsidTr="00DE6727">
        <w:trPr>
          <w:trHeight w:val="11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B15F9F3"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t xml:space="preserve">Wspólnik Spółki – Mieczysław Myszak, </w:t>
            </w:r>
            <w:r>
              <w:rPr>
                <w:rFonts w:ascii="Calibri" w:hAnsi="Calibri" w:cs="Calibri"/>
                <w:color w:val="000000"/>
                <w:kern w:val="0"/>
              </w:rPr>
              <w:t xml:space="preserve">w ramach spółki </w:t>
            </w:r>
            <w:proofErr w:type="spellStart"/>
            <w:r w:rsidRPr="00965F80">
              <w:rPr>
                <w:rFonts w:ascii="Calibri" w:hAnsi="Calibri" w:cs="Calibri"/>
                <w:b/>
                <w:bCs/>
                <w:kern w:val="0"/>
              </w:rPr>
              <w:t>Allotment</w:t>
            </w:r>
            <w:proofErr w:type="spellEnd"/>
            <w:r w:rsidRPr="00965F80">
              <w:rPr>
                <w:rFonts w:ascii="Calibri" w:hAnsi="Calibri" w:cs="Calibri"/>
                <w:b/>
                <w:bCs/>
                <w:kern w:val="0"/>
              </w:rPr>
              <w:t xml:space="preserve"> 2/12 sp. z o. o. sp. kom., zrealizował</w:t>
            </w:r>
            <w:r w:rsidRPr="00965F80">
              <w:rPr>
                <w:rFonts w:ascii="Calibri" w:hAnsi="Calibri" w:cs="Calibri"/>
                <w:kern w:val="0"/>
              </w:rPr>
              <w:t xml:space="preserve"> </w:t>
            </w:r>
            <w:r>
              <w:rPr>
                <w:rFonts w:ascii="Calibri" w:hAnsi="Calibri" w:cs="Calibri"/>
                <w:color w:val="000000"/>
                <w:kern w:val="0"/>
              </w:rPr>
              <w:t>i ukończył przedsięwzięcie deweloperskie – budowę 7 budynków mieszkalnych jednorodzinnych dwulokalowych w zabudowie szeregowej, przekazując właścicielom 14 lokali mieszkalnych wraz z towarzyszącą infrastrukturą (dojścia, parkingi i zieleń).</w:t>
            </w:r>
          </w:p>
        </w:tc>
      </w:tr>
      <w:tr w:rsidR="00675A1A" w14:paraId="687657D4" w14:textId="77777777" w:rsidTr="00DE6727">
        <w:trPr>
          <w:trHeight w:val="651"/>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B33BE7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Adres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F0B8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OŁAWA, UL. CEDROWA 62-88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0A6FF8" w14:textId="77777777" w:rsidR="00675A1A" w:rsidRDefault="00675A1A" w:rsidP="00DE6727">
            <w:pPr>
              <w:spacing w:after="0" w:line="240" w:lineRule="auto"/>
              <w:jc w:val="center"/>
              <w:rPr>
                <w:rFonts w:ascii="Times New Roman" w:hAnsi="Times New Roman"/>
                <w:kern w:val="0"/>
              </w:rPr>
            </w:pPr>
            <w:r>
              <w:rPr>
                <w:rFonts w:ascii="Calibri" w:hAnsi="Calibri" w:cs="Calibri"/>
                <w:noProof/>
                <w:color w:val="000000"/>
                <w:kern w:val="0"/>
                <w:sz w:val="22"/>
                <w:szCs w:val="22"/>
                <w:bdr w:val="none" w:sz="0" w:space="0" w:color="auto" w:frame="1"/>
              </w:rPr>
              <w:drawing>
                <wp:inline distT="0" distB="0" distL="0" distR="0" wp14:anchorId="547026A5" wp14:editId="6D876A52">
                  <wp:extent cx="1905000" cy="11493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149350"/>
                          </a:xfrm>
                          <a:prstGeom prst="rect">
                            <a:avLst/>
                          </a:prstGeom>
                          <a:noFill/>
                          <a:ln>
                            <a:noFill/>
                          </a:ln>
                        </pic:spPr>
                      </pic:pic>
                    </a:graphicData>
                  </a:graphic>
                </wp:inline>
              </w:drawing>
            </w:r>
          </w:p>
        </w:tc>
      </w:tr>
      <w:tr w:rsidR="00675A1A" w14:paraId="12D58940" w14:textId="77777777" w:rsidTr="00DE6727">
        <w:trPr>
          <w:trHeight w:val="561"/>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F145EF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Data rozpoczęcia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8B383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1.03.</w:t>
            </w:r>
            <w:proofErr w:type="gramStart"/>
            <w:r>
              <w:rPr>
                <w:rFonts w:ascii="Calibri" w:hAnsi="Calibri" w:cs="Calibri"/>
                <w:color w:val="000000"/>
                <w:kern w:val="0"/>
              </w:rPr>
              <w:t>2021r.</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F868B3" w14:textId="77777777" w:rsidR="00675A1A" w:rsidRDefault="00675A1A" w:rsidP="00DE6727">
            <w:pPr>
              <w:spacing w:after="0" w:line="240" w:lineRule="auto"/>
              <w:rPr>
                <w:rFonts w:ascii="Times New Roman" w:hAnsi="Times New Roman"/>
                <w:kern w:val="0"/>
              </w:rPr>
            </w:pPr>
          </w:p>
        </w:tc>
      </w:tr>
      <w:tr w:rsidR="00675A1A" w14:paraId="4842DE4F" w14:textId="77777777" w:rsidTr="00DE672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4FF172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Data wydania decyzji o pozwoleniu na użytkowanie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7B77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9.01.</w:t>
            </w:r>
            <w:proofErr w:type="gramStart"/>
            <w:r>
              <w:rPr>
                <w:rFonts w:ascii="Calibri" w:hAnsi="Calibri" w:cs="Calibri"/>
                <w:color w:val="000000"/>
                <w:kern w:val="0"/>
              </w:rPr>
              <w:t>2023r.</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B52B17" w14:textId="77777777" w:rsidR="00675A1A" w:rsidRDefault="00675A1A" w:rsidP="00DE6727">
            <w:pPr>
              <w:spacing w:after="0" w:line="240" w:lineRule="auto"/>
              <w:rPr>
                <w:rFonts w:ascii="Times New Roman" w:hAnsi="Times New Roman"/>
                <w:kern w:val="0"/>
              </w:rPr>
            </w:pPr>
          </w:p>
        </w:tc>
      </w:tr>
      <w:tr w:rsidR="00675A1A" w14:paraId="5701FBF0" w14:textId="77777777" w:rsidTr="00DE6727">
        <w:trPr>
          <w:trHeight w:val="144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48574514"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t xml:space="preserve">Wspólnik Spółki – Mieczysław Myszak, </w:t>
            </w:r>
            <w:r>
              <w:rPr>
                <w:rFonts w:ascii="Calibri" w:hAnsi="Calibri" w:cs="Calibri"/>
                <w:color w:val="000000"/>
                <w:kern w:val="0"/>
              </w:rPr>
              <w:t xml:space="preserve">w ramach spółki </w:t>
            </w:r>
            <w:proofErr w:type="spellStart"/>
            <w:r w:rsidRPr="00965F80">
              <w:rPr>
                <w:rFonts w:ascii="Calibri" w:hAnsi="Calibri" w:cs="Calibri"/>
                <w:b/>
                <w:bCs/>
                <w:kern w:val="0"/>
              </w:rPr>
              <w:t>Allotment</w:t>
            </w:r>
            <w:proofErr w:type="spellEnd"/>
            <w:r w:rsidRPr="00965F80">
              <w:rPr>
                <w:rFonts w:ascii="Calibri" w:hAnsi="Calibri" w:cs="Calibri"/>
                <w:b/>
                <w:bCs/>
                <w:kern w:val="0"/>
              </w:rPr>
              <w:t xml:space="preserve"> 12 sp</w:t>
            </w:r>
            <w:r>
              <w:rPr>
                <w:rFonts w:ascii="Calibri" w:hAnsi="Calibri" w:cs="Calibri"/>
                <w:b/>
                <w:bCs/>
                <w:kern w:val="0"/>
              </w:rPr>
              <w:t>.</w:t>
            </w:r>
            <w:r w:rsidRPr="00965F80">
              <w:rPr>
                <w:rFonts w:ascii="Calibri" w:hAnsi="Calibri" w:cs="Calibri"/>
                <w:b/>
                <w:bCs/>
                <w:kern w:val="0"/>
              </w:rPr>
              <w:t xml:space="preserve"> z o.o. sp. kom., zrealizował </w:t>
            </w:r>
            <w:r>
              <w:rPr>
                <w:rFonts w:ascii="Calibri" w:hAnsi="Calibri" w:cs="Calibri"/>
                <w:color w:val="000000"/>
                <w:kern w:val="0"/>
              </w:rPr>
              <w:t>przedsięwzięcie deweloperskie – budowę 7 budynków mieszkalnych jednorodzinnych dwulokalowych, w zabudowie szeregowej, przekazując właścicielom 14 lokali mieszkalnych wraz z towarzyszącą infrastrukturą (dojścia, parkingi i zieleń).</w:t>
            </w:r>
          </w:p>
        </w:tc>
      </w:tr>
      <w:tr w:rsidR="00675A1A" w14:paraId="707D9C90" w14:textId="77777777" w:rsidTr="00DE6727">
        <w:trPr>
          <w:trHeight w:val="653"/>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022B00B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Adres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6BD0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OŁAWA, UL. Daglezjowa 9-35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F7663" w14:textId="77777777" w:rsidR="00675A1A" w:rsidRDefault="00675A1A" w:rsidP="00DE6727">
            <w:pPr>
              <w:spacing w:after="0" w:line="240" w:lineRule="auto"/>
              <w:jc w:val="center"/>
              <w:rPr>
                <w:rFonts w:ascii="Times New Roman" w:hAnsi="Times New Roman"/>
                <w:kern w:val="0"/>
              </w:rPr>
            </w:pPr>
            <w:r>
              <w:rPr>
                <w:rFonts w:ascii="Times New Roman" w:hAnsi="Times New Roman"/>
                <w:noProof/>
                <w:kern w:val="0"/>
              </w:rPr>
              <w:drawing>
                <wp:inline distT="0" distB="0" distL="0" distR="0" wp14:anchorId="7F06B895" wp14:editId="220BAB9D">
                  <wp:extent cx="1968500" cy="1111250"/>
                  <wp:effectExtent l="0" t="0" r="0" b="0"/>
                  <wp:docPr id="3" name="Picture 5" descr="A car parked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ar parked in front of a building&#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8500" cy="1111250"/>
                          </a:xfrm>
                          <a:prstGeom prst="rect">
                            <a:avLst/>
                          </a:prstGeom>
                          <a:noFill/>
                          <a:ln>
                            <a:noFill/>
                          </a:ln>
                        </pic:spPr>
                      </pic:pic>
                    </a:graphicData>
                  </a:graphic>
                </wp:inline>
              </w:drawing>
            </w:r>
          </w:p>
        </w:tc>
      </w:tr>
      <w:tr w:rsidR="00675A1A" w14:paraId="73AF1B75" w14:textId="77777777" w:rsidTr="00DE6727">
        <w:trPr>
          <w:trHeight w:val="549"/>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DEC300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Data rozpoczęcia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B762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 xml:space="preserve"> 17.01.</w:t>
            </w:r>
            <w:proofErr w:type="gramStart"/>
            <w:r>
              <w:rPr>
                <w:rFonts w:ascii="Calibri" w:hAnsi="Calibri" w:cs="Calibri"/>
                <w:color w:val="000000"/>
                <w:kern w:val="0"/>
              </w:rPr>
              <w:t>2023r.</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F08871" w14:textId="77777777" w:rsidR="00675A1A" w:rsidRDefault="00675A1A" w:rsidP="00DE6727">
            <w:pPr>
              <w:spacing w:after="0" w:line="240" w:lineRule="auto"/>
              <w:rPr>
                <w:rFonts w:ascii="Times New Roman" w:hAnsi="Times New Roman"/>
                <w:kern w:val="0"/>
              </w:rPr>
            </w:pPr>
          </w:p>
        </w:tc>
      </w:tr>
      <w:tr w:rsidR="00675A1A" w14:paraId="15D6594F" w14:textId="77777777" w:rsidTr="00DE672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FBD517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Data wydania decyzji o pozwoleniu na użytkowanie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BF729" w14:textId="77777777" w:rsidR="00675A1A" w:rsidRPr="00943C32" w:rsidRDefault="00675A1A" w:rsidP="00DE6727">
            <w:pPr>
              <w:spacing w:after="0" w:line="240" w:lineRule="auto"/>
              <w:rPr>
                <w:rFonts w:ascii="Calibri" w:hAnsi="Calibri" w:cs="Calibri"/>
                <w:color w:val="FF0000"/>
                <w:kern w:val="0"/>
              </w:rPr>
            </w:pPr>
            <w:r w:rsidRPr="00943C32">
              <w:rPr>
                <w:rFonts w:ascii="Calibri" w:hAnsi="Calibri" w:cs="Calibri"/>
                <w:color w:val="000000" w:themeColor="text1"/>
                <w:kern w:val="0"/>
              </w:rPr>
              <w:t>29.01.</w:t>
            </w:r>
            <w:proofErr w:type="gramStart"/>
            <w:r w:rsidRPr="00943C32">
              <w:rPr>
                <w:rFonts w:ascii="Calibri" w:hAnsi="Calibri" w:cs="Calibri"/>
                <w:color w:val="000000" w:themeColor="text1"/>
                <w:kern w:val="0"/>
              </w:rPr>
              <w:t>2025</w:t>
            </w:r>
            <w:r>
              <w:rPr>
                <w:rFonts w:ascii="Calibri" w:hAnsi="Calibri" w:cs="Calibri"/>
                <w:color w:val="000000" w:themeColor="text1"/>
                <w:kern w:val="0"/>
              </w:rPr>
              <w:t>r.</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5B610" w14:textId="77777777" w:rsidR="00675A1A" w:rsidRDefault="00675A1A" w:rsidP="00DE6727">
            <w:pPr>
              <w:spacing w:after="0" w:line="240" w:lineRule="auto"/>
              <w:rPr>
                <w:rFonts w:ascii="Times New Roman" w:hAnsi="Times New Roman"/>
                <w:kern w:val="0"/>
              </w:rPr>
            </w:pPr>
          </w:p>
        </w:tc>
      </w:tr>
    </w:tbl>
    <w:p w14:paraId="5B2CE8D7" w14:textId="77777777" w:rsidR="00675A1A" w:rsidRPr="001609EC" w:rsidRDefault="00675A1A" w:rsidP="00675A1A">
      <w:pPr>
        <w:spacing w:after="0" w:line="240" w:lineRule="auto"/>
        <w:rPr>
          <w:rFonts w:ascii="Times New Roman" w:hAnsi="Times New Roman"/>
          <w:kern w:val="0"/>
        </w:rPr>
      </w:pPr>
    </w:p>
    <w:tbl>
      <w:tblPr>
        <w:tblW w:w="0" w:type="auto"/>
        <w:tblCellMar>
          <w:top w:w="15" w:type="dxa"/>
          <w:left w:w="15" w:type="dxa"/>
          <w:bottom w:w="15" w:type="dxa"/>
          <w:right w:w="15" w:type="dxa"/>
        </w:tblCellMar>
        <w:tblLook w:val="04A0" w:firstRow="1" w:lastRow="0" w:firstColumn="1" w:lastColumn="0" w:noHBand="0" w:noVBand="1"/>
      </w:tblPr>
      <w:tblGrid>
        <w:gridCol w:w="4580"/>
        <w:gridCol w:w="4668"/>
      </w:tblGrid>
      <w:tr w:rsidR="00675A1A" w14:paraId="63F429A2" w14:textId="77777777" w:rsidTr="00DE6727">
        <w:trPr>
          <w:trHeight w:val="1161"/>
        </w:trPr>
        <w:tc>
          <w:tcPr>
            <w:tcW w:w="0" w:type="auto"/>
            <w:tcBorders>
              <w:top w:val="single" w:sz="4" w:space="0" w:color="000000"/>
              <w:left w:val="single" w:sz="4" w:space="0" w:color="000000"/>
              <w:bottom w:val="single" w:sz="4" w:space="0" w:color="000000"/>
              <w:right w:val="single" w:sz="4" w:space="0" w:color="000000"/>
            </w:tcBorders>
            <w:shd w:val="clear" w:color="auto" w:fill="DEEAF6"/>
            <w:tcMar>
              <w:top w:w="189" w:type="dxa"/>
              <w:left w:w="107" w:type="dxa"/>
              <w:bottom w:w="0" w:type="dxa"/>
              <w:right w:w="115" w:type="dxa"/>
            </w:tcMar>
            <w:vAlign w:val="center"/>
            <w:hideMark/>
          </w:tcPr>
          <w:p w14:paraId="64ED6256" w14:textId="77777777" w:rsidR="00675A1A" w:rsidRDefault="00675A1A" w:rsidP="00DE6727">
            <w:pPr>
              <w:spacing w:after="0" w:line="240" w:lineRule="auto"/>
              <w:ind w:right="200"/>
              <w:rPr>
                <w:rFonts w:ascii="Times New Roman" w:hAnsi="Times New Roman"/>
                <w:kern w:val="0"/>
              </w:rPr>
            </w:pPr>
            <w:r>
              <w:rPr>
                <w:rFonts w:ascii="Calibri" w:hAnsi="Calibri" w:cs="Calibri"/>
                <w:color w:val="000000"/>
                <w:kern w:val="0"/>
                <w:sz w:val="20"/>
                <w:szCs w:val="20"/>
              </w:rPr>
              <w:t>Czy przeciwko deweloperowi prowadzono lub prowadzi się postępowania egzekucyjne na kwotę powyżej 100 000 zł</w:t>
            </w:r>
            <w:r>
              <w:rPr>
                <w:rFonts w:ascii="Calibri" w:hAnsi="Calibri" w:cs="Calibri"/>
                <w:b/>
                <w:bCs/>
                <w:color w:val="000000"/>
                <w:kern w:val="0"/>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189" w:type="dxa"/>
              <w:left w:w="107" w:type="dxa"/>
              <w:bottom w:w="0" w:type="dxa"/>
              <w:right w:w="115" w:type="dxa"/>
            </w:tcMar>
            <w:vAlign w:val="center"/>
            <w:hideMark/>
          </w:tcPr>
          <w:p w14:paraId="01E25C1B"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t>Przeciwko deweloperowi nie prowadzono i nie prowadzi się żadnego postępowania egzekucyjnego.</w:t>
            </w:r>
          </w:p>
        </w:tc>
      </w:tr>
    </w:tbl>
    <w:p w14:paraId="28EE240A" w14:textId="77777777" w:rsidR="00675A1A" w:rsidRPr="001609EC" w:rsidRDefault="00675A1A" w:rsidP="00675A1A">
      <w:pPr>
        <w:spacing w:after="0" w:line="240" w:lineRule="auto"/>
        <w:rPr>
          <w:rFonts w:ascii="Times New Roman" w:hAnsi="Times New Roman"/>
          <w:kern w:val="0"/>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2823"/>
        <w:gridCol w:w="3373"/>
        <w:gridCol w:w="3046"/>
      </w:tblGrid>
      <w:tr w:rsidR="00675A1A" w14:paraId="5FD1AFDC" w14:textId="77777777" w:rsidTr="00DE6727">
        <w:trPr>
          <w:trHeight w:val="667"/>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96B9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rPr>
              <w:lastRenderedPageBreak/>
              <w:t>III. INFORMACJE DOTYCZĄCE NIERUCHOMOŚCI I PRZEDSIĘWZIĘCIA DEWELOPERSKIEGO</w:t>
            </w:r>
          </w:p>
        </w:tc>
      </w:tr>
      <w:tr w:rsidR="00675A1A" w14:paraId="668A11E4" w14:textId="77777777" w:rsidTr="00DE6727">
        <w:trPr>
          <w:trHeight w:val="703"/>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1B2DF"/>
            <w:tcMar>
              <w:top w:w="0" w:type="dxa"/>
              <w:left w:w="108" w:type="dxa"/>
              <w:bottom w:w="0" w:type="dxa"/>
              <w:right w:w="108" w:type="dxa"/>
            </w:tcMar>
            <w:vAlign w:val="center"/>
            <w:hideMark/>
          </w:tcPr>
          <w:p w14:paraId="0A547E9D" w14:textId="77777777" w:rsidR="00675A1A" w:rsidRDefault="00675A1A" w:rsidP="00DE6727">
            <w:pPr>
              <w:tabs>
                <w:tab w:val="left" w:pos="10065"/>
              </w:tabs>
              <w:spacing w:after="0" w:line="240" w:lineRule="auto"/>
              <w:rPr>
                <w:rFonts w:ascii="Times New Roman" w:hAnsi="Times New Roman"/>
                <w:kern w:val="0"/>
              </w:rPr>
            </w:pPr>
            <w:r>
              <w:rPr>
                <w:rFonts w:ascii="Calibri" w:hAnsi="Calibri" w:cs="Calibri"/>
                <w:color w:val="000000"/>
                <w:kern w:val="0"/>
              </w:rPr>
              <w:t>INFORMACJE DOTYCZĄCE GRUNTU I ZAGOSPODAROWANIA PRZESTRZENNEGO TERENU</w:t>
            </w:r>
          </w:p>
        </w:tc>
      </w:tr>
      <w:tr w:rsidR="00675A1A" w14:paraId="78D69C40" w14:textId="77777777" w:rsidTr="00DE6727">
        <w:trPr>
          <w:trHeight w:val="936"/>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59DD554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Adres, numer działki ewidencyjnej i numer obrębu ewidencyjnego</w:t>
            </w:r>
            <w:r>
              <w:rPr>
                <w:rFonts w:ascii="Calibri" w:hAnsi="Calibri" w:cs="Calibri"/>
                <w:color w:val="000000"/>
                <w:kern w:val="0"/>
                <w:sz w:val="12"/>
                <w:szCs w:val="12"/>
                <w:vertAlign w:val="superscript"/>
              </w:rPr>
              <w:t>)</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CA15E" w14:textId="77777777" w:rsidR="00675A1A" w:rsidRDefault="00675A1A" w:rsidP="00DE6727">
            <w:pPr>
              <w:spacing w:after="0" w:line="240" w:lineRule="auto"/>
              <w:rPr>
                <w:rFonts w:ascii="Times New Roman" w:hAnsi="Times New Roman"/>
                <w:color w:val="FF0000"/>
                <w:kern w:val="0"/>
              </w:rPr>
            </w:pPr>
            <w:r>
              <w:rPr>
                <w:rFonts w:ascii="Calibri" w:hAnsi="Calibri" w:cs="Calibri"/>
                <w:color w:val="000000"/>
                <w:kern w:val="0"/>
                <w:sz w:val="20"/>
                <w:szCs w:val="20"/>
              </w:rPr>
              <w:t xml:space="preserve">OŁAWA, UL Daglezjowa </w:t>
            </w:r>
          </w:p>
          <w:p w14:paraId="3467453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działka nr 2/61 i 2/62, AM-88, obręb 0003 Oława</w:t>
            </w:r>
          </w:p>
        </w:tc>
      </w:tr>
      <w:tr w:rsidR="00675A1A" w14:paraId="1C251B0E" w14:textId="77777777" w:rsidTr="00DE6727">
        <w:trPr>
          <w:trHeight w:val="556"/>
        </w:trPr>
        <w:tc>
          <w:tcPr>
            <w:tcW w:w="1527"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C35449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Numer księgi wieczystej  </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4A907" w14:textId="77777777" w:rsidR="00675A1A" w:rsidRDefault="00675A1A" w:rsidP="00DE6727">
            <w:pPr>
              <w:spacing w:after="0" w:line="240" w:lineRule="auto"/>
              <w:rPr>
                <w:rFonts w:ascii="Times New Roman" w:hAnsi="Times New Roman"/>
                <w:color w:val="000000"/>
                <w:kern w:val="0"/>
              </w:rPr>
            </w:pPr>
            <w:r w:rsidRPr="00A37940">
              <w:rPr>
                <w:rFonts w:ascii="Calibri" w:hAnsi="Calibri" w:cs="Calibri"/>
                <w:color w:val="000000" w:themeColor="text1"/>
                <w:kern w:val="0"/>
                <w:sz w:val="20"/>
                <w:szCs w:val="20"/>
              </w:rPr>
              <w:t xml:space="preserve">WR1O/00078978/7 </w:t>
            </w:r>
          </w:p>
        </w:tc>
      </w:tr>
      <w:tr w:rsidR="00675A1A" w14:paraId="73BEAA06" w14:textId="77777777" w:rsidTr="00DE6727">
        <w:trPr>
          <w:trHeight w:val="549"/>
        </w:trPr>
        <w:tc>
          <w:tcPr>
            <w:tcW w:w="1527"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68BB3B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Istniejące obciążenia hipoteczne nieruchomości lub wnioski o wpis w dziale czwartym księgi wieczystej </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96258" w14:textId="77777777" w:rsidR="00675A1A" w:rsidRPr="000D639D" w:rsidRDefault="00675A1A" w:rsidP="00DE6727">
            <w:pPr>
              <w:spacing w:after="0" w:line="240" w:lineRule="auto"/>
              <w:rPr>
                <w:rFonts w:ascii="Calibri" w:hAnsi="Calibri" w:cs="Calibri"/>
                <w:kern w:val="0"/>
              </w:rPr>
            </w:pPr>
            <w:r>
              <w:rPr>
                <w:rFonts w:ascii="Calibri" w:hAnsi="Calibri" w:cs="Calibri"/>
                <w:color w:val="000000"/>
                <w:sz w:val="20"/>
                <w:szCs w:val="20"/>
              </w:rPr>
              <w:t>W</w:t>
            </w:r>
            <w:r w:rsidRPr="000D639D">
              <w:rPr>
                <w:rFonts w:ascii="Calibri" w:hAnsi="Calibri" w:cs="Calibri"/>
                <w:color w:val="000000"/>
                <w:sz w:val="20"/>
                <w:szCs w:val="20"/>
              </w:rPr>
              <w:t xml:space="preserve"> przypadku uzyskania kredytu na finansowanie przedsięwzięcia zostanie wpisana hipoteka na rzecz banku kredytującego</w:t>
            </w:r>
          </w:p>
        </w:tc>
      </w:tr>
      <w:tr w:rsidR="00675A1A" w14:paraId="523E076B" w14:textId="77777777" w:rsidTr="00DE6727">
        <w:trPr>
          <w:trHeight w:val="549"/>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48DA32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 przypadku braku księgi wieczystej informacja o powierzchni działki i stanie prawnym nieruchomości</w:t>
            </w:r>
            <w:r>
              <w:rPr>
                <w:rFonts w:ascii="Calibri" w:hAnsi="Calibri" w:cs="Calibri"/>
                <w:color w:val="000000"/>
                <w:kern w:val="0"/>
                <w:sz w:val="12"/>
                <w:szCs w:val="12"/>
                <w:vertAlign w:val="superscript"/>
              </w:rPr>
              <w:t>)</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85266" w14:textId="77777777" w:rsidR="00675A1A" w:rsidRPr="00F27FB4" w:rsidRDefault="00675A1A" w:rsidP="00DE6727">
            <w:pPr>
              <w:spacing w:after="0" w:line="240" w:lineRule="auto"/>
              <w:rPr>
                <w:rFonts w:ascii="Times New Roman" w:hAnsi="Times New Roman"/>
                <w:kern w:val="0"/>
                <w:sz w:val="20"/>
                <w:szCs w:val="20"/>
              </w:rPr>
            </w:pPr>
            <w:r w:rsidRPr="00F27FB4">
              <w:rPr>
                <w:rFonts w:ascii="Calibri" w:hAnsi="Calibri" w:cs="Calibri"/>
                <w:color w:val="000000"/>
                <w:kern w:val="0"/>
                <w:sz w:val="20"/>
                <w:szCs w:val="20"/>
              </w:rPr>
              <w:t>Nie dotyczy</w:t>
            </w:r>
          </w:p>
        </w:tc>
      </w:tr>
      <w:tr w:rsidR="00675A1A" w14:paraId="4D0215BE" w14:textId="77777777" w:rsidTr="00DE6727">
        <w:trPr>
          <w:trHeight w:val="490"/>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30AF712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Informacje dotyczące obiektów istniejących położonych w sąsiedztwie inwestycji i wpływających na warunki życia</w:t>
            </w:r>
            <w:r>
              <w:rPr>
                <w:rFonts w:ascii="Calibri" w:hAnsi="Calibri" w:cs="Calibri"/>
                <w:color w:val="000000"/>
                <w:kern w:val="0"/>
                <w:sz w:val="12"/>
                <w:szCs w:val="12"/>
                <w:vertAlign w:val="superscript"/>
              </w:rPr>
              <w:t>)</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4EAD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Obiekty istniejące, położone w sąsiedztwie przedsięwzięcia deweloperskiego stanowią zabudowę mieszkaniową jednorodzinną oraz jednorodzinną z usługami, która to zabudowa nie kwalifikuje się do przedsięwzięć ujętych w Rozporządzeniu Rady Ministrów z dnia 10 września 2019 r. w sprawie przedsięwzięć mogących znacząco oddziaływać na środowisko (j.t.: Dz. U. z 2019 r. poz. 1839 ze zmianami). W związku z powyższym, w myśl art. 59 ustawy z dnia 3 października </w:t>
            </w:r>
            <w:proofErr w:type="gramStart"/>
            <w:r>
              <w:rPr>
                <w:rFonts w:ascii="Calibri" w:hAnsi="Calibri" w:cs="Calibri"/>
                <w:color w:val="000000"/>
                <w:kern w:val="0"/>
                <w:sz w:val="20"/>
                <w:szCs w:val="20"/>
              </w:rPr>
              <w:t>2008r.</w:t>
            </w:r>
            <w:proofErr w:type="gramEnd"/>
            <w:r>
              <w:rPr>
                <w:rFonts w:ascii="Calibri" w:hAnsi="Calibri" w:cs="Calibri"/>
                <w:color w:val="000000"/>
                <w:kern w:val="0"/>
                <w:sz w:val="20"/>
                <w:szCs w:val="20"/>
              </w:rPr>
              <w:t xml:space="preserve"> o udostępnianiu informacji o środowisku, jego ochronie, udziale społeczeństwa w ochronie środowiska oraz o ocenach oddziaływania na środowisko (tj..: Dz. U. z </w:t>
            </w:r>
            <w:proofErr w:type="gramStart"/>
            <w:r>
              <w:rPr>
                <w:rFonts w:ascii="Calibri" w:hAnsi="Calibri" w:cs="Calibri"/>
                <w:color w:val="000000"/>
                <w:kern w:val="0"/>
                <w:sz w:val="20"/>
                <w:szCs w:val="20"/>
              </w:rPr>
              <w:t>2023r.</w:t>
            </w:r>
            <w:proofErr w:type="gramEnd"/>
            <w:r>
              <w:rPr>
                <w:rFonts w:ascii="Calibri" w:hAnsi="Calibri" w:cs="Calibri"/>
                <w:color w:val="000000"/>
                <w:kern w:val="0"/>
                <w:sz w:val="20"/>
                <w:szCs w:val="20"/>
              </w:rPr>
              <w:t xml:space="preserve"> poz. 1094 </w:t>
            </w:r>
            <w:r>
              <w:rPr>
                <w:rFonts w:ascii="Calibri" w:hAnsi="Calibri" w:cs="Calibri"/>
                <w:noProof/>
                <w:color w:val="000000"/>
                <w:kern w:val="0"/>
                <w:sz w:val="20"/>
                <w:szCs w:val="20"/>
                <w:bdr w:val="none" w:sz="0" w:space="0" w:color="auto" w:frame="1"/>
              </w:rPr>
              <w:drawing>
                <wp:inline distT="0" distB="0" distL="0" distR="0" wp14:anchorId="2E0A1BB3" wp14:editId="54D562EA">
                  <wp:extent cx="38100" cy="31750"/>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 cy="31750"/>
                          </a:xfrm>
                          <a:prstGeom prst="rect">
                            <a:avLst/>
                          </a:prstGeom>
                          <a:noFill/>
                          <a:ln>
                            <a:noFill/>
                          </a:ln>
                        </pic:spPr>
                      </pic:pic>
                    </a:graphicData>
                  </a:graphic>
                </wp:inline>
              </w:drawing>
            </w:r>
            <w:r>
              <w:rPr>
                <w:rFonts w:ascii="Calibri" w:hAnsi="Calibri" w:cs="Calibri"/>
                <w:color w:val="000000"/>
                <w:kern w:val="0"/>
                <w:sz w:val="20"/>
                <w:szCs w:val="20"/>
              </w:rPr>
              <w:t>ze zm.) - istniejąca zabudowa nie zalicza się do przedsięwzięcia, które wymagałoby przeprowadzenia oceny oddziaływania na środowisko, uwagi na brak takiego oddziaływania na teren planowanej inwestycji. Na obszarze inwestycji nie występują strefy i obszary ochronne, a w zasięgu jej oddziaływania nie znajdują się obszary „Natura 2000”.</w:t>
            </w:r>
          </w:p>
        </w:tc>
      </w:tr>
      <w:tr w:rsidR="00675A1A" w14:paraId="0E6A3432" w14:textId="77777777" w:rsidTr="00DE6727">
        <w:trPr>
          <w:trHeight w:val="490"/>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408F97B" w14:textId="77777777" w:rsidR="00675A1A" w:rsidRDefault="00675A1A" w:rsidP="00DE6727">
            <w:pPr>
              <w:spacing w:after="0" w:line="240" w:lineRule="auto"/>
              <w:rPr>
                <w:rFonts w:ascii="Times New Roman" w:hAnsi="Times New Roman"/>
                <w:kern w:val="0"/>
              </w:rPr>
            </w:pP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7CD4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18"/>
                <w:szCs w:val="18"/>
              </w:rPr>
              <w:t>Uwarunkowania lokalizacji inwestycji wynikające z istniejącego stanu użytkowania terenów sąsiednich (np. z funkcji terenu, stref ochronnych, uciążliwości)</w:t>
            </w:r>
          </w:p>
        </w:tc>
      </w:tr>
      <w:tr w:rsidR="00675A1A" w14:paraId="5715D5E6" w14:textId="77777777" w:rsidTr="00DE6727">
        <w:trPr>
          <w:trHeight w:val="1841"/>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1B612620" w14:textId="77777777" w:rsidR="00675A1A" w:rsidRDefault="00675A1A" w:rsidP="00DE6727">
            <w:pPr>
              <w:spacing w:after="144" w:line="240" w:lineRule="auto"/>
              <w:ind w:right="15"/>
              <w:rPr>
                <w:rFonts w:ascii="Times New Roman" w:hAnsi="Times New Roman"/>
                <w:kern w:val="0"/>
              </w:rPr>
            </w:pPr>
            <w:r>
              <w:rPr>
                <w:rFonts w:ascii="Calibri" w:hAnsi="Calibri" w:cs="Calibri"/>
                <w:color w:val="000000"/>
                <w:kern w:val="0"/>
                <w:sz w:val="20"/>
                <w:szCs w:val="20"/>
              </w:rPr>
              <w:t>Akty planowania przestrzennego i inne akty prawne na terenie objętym przedsięwzięciem deweloperskim lub zadaniem inwestycyjnym </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069C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Plan ogólny gminy</w:t>
            </w:r>
          </w:p>
        </w:tc>
        <w:tc>
          <w:tcPr>
            <w:tcW w:w="164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79E96" w14:textId="77777777" w:rsidR="00675A1A" w:rsidRDefault="00675A1A" w:rsidP="00DE6727">
            <w:pPr>
              <w:spacing w:after="0" w:line="240" w:lineRule="auto"/>
              <w:ind w:right="79"/>
              <w:rPr>
                <w:rFonts w:ascii="Times New Roman" w:hAnsi="Times New Roman"/>
                <w:kern w:val="0"/>
              </w:rPr>
            </w:pPr>
            <w:r>
              <w:rPr>
                <w:rFonts w:ascii="Calibri" w:hAnsi="Calibri" w:cs="Calibri"/>
                <w:color w:val="000000"/>
                <w:kern w:val="0"/>
                <w:sz w:val="20"/>
                <w:szCs w:val="20"/>
              </w:rPr>
              <w:t xml:space="preserve">Teren przedsięwzięcia deweloperskiego </w:t>
            </w:r>
            <w:r>
              <w:rPr>
                <w:rFonts w:ascii="Calibri" w:hAnsi="Calibri" w:cs="Calibri"/>
                <w:color w:val="000000"/>
                <w:kern w:val="0"/>
                <w:sz w:val="20"/>
                <w:szCs w:val="20"/>
                <w:u w:val="single"/>
              </w:rPr>
              <w:t>jest objęty</w:t>
            </w:r>
            <w:r>
              <w:rPr>
                <w:rFonts w:ascii="Calibri" w:hAnsi="Calibri" w:cs="Calibri"/>
                <w:color w:val="000000"/>
                <w:kern w:val="0"/>
                <w:sz w:val="20"/>
                <w:szCs w:val="20"/>
              </w:rPr>
              <w:t>:</w:t>
            </w:r>
          </w:p>
          <w:p w14:paraId="13BBB47D" w14:textId="77777777" w:rsidR="00675A1A" w:rsidRDefault="00675A1A" w:rsidP="00DE6727">
            <w:pPr>
              <w:spacing w:after="8" w:line="240" w:lineRule="auto"/>
              <w:ind w:right="79"/>
              <w:textAlignment w:val="baseline"/>
              <w:rPr>
                <w:rFonts w:ascii="Times New Roman" w:hAnsi="Times New Roman"/>
                <w:color w:val="000000"/>
                <w:kern w:val="0"/>
                <w:sz w:val="20"/>
                <w:szCs w:val="20"/>
              </w:rPr>
            </w:pPr>
            <w:r>
              <w:rPr>
                <w:rFonts w:ascii="Calibri" w:hAnsi="Calibri" w:cs="Calibri"/>
                <w:color w:val="000000"/>
                <w:kern w:val="0"/>
                <w:sz w:val="20"/>
                <w:szCs w:val="20"/>
              </w:rPr>
              <w:t>zmienionym miejscowym planem zagospodarowania przestrzennego obszaru południowej części Osiedla Nowy Otok w Oławie, uchwalonym przez Radę Miejską w Oławie Uchwałą Nr LII/338/14 z dnia 25 września 2014 r., opublikowany w Dzienniku Urzędowym Województwa Dolnośląskiego z dnia 02.10.2014 r. poz. 4075.</w:t>
            </w:r>
          </w:p>
          <w:p w14:paraId="2307EAA4" w14:textId="77777777" w:rsidR="00675A1A" w:rsidRDefault="00675A1A" w:rsidP="00DE6727">
            <w:pPr>
              <w:spacing w:after="0" w:line="240" w:lineRule="auto"/>
              <w:ind w:right="10"/>
              <w:rPr>
                <w:rFonts w:ascii="Times New Roman" w:hAnsi="Times New Roman"/>
                <w:kern w:val="0"/>
              </w:rPr>
            </w:pPr>
            <w:r>
              <w:rPr>
                <w:rFonts w:ascii="Calibri" w:hAnsi="Calibri" w:cs="Calibri"/>
                <w:color w:val="000000"/>
                <w:kern w:val="0"/>
                <w:sz w:val="20"/>
                <w:szCs w:val="20"/>
              </w:rPr>
              <w:t xml:space="preserve">Teren przedsięwzięcia deweloperskiego </w:t>
            </w:r>
            <w:r>
              <w:rPr>
                <w:rFonts w:ascii="Calibri" w:hAnsi="Calibri" w:cs="Calibri"/>
                <w:color w:val="000000"/>
                <w:kern w:val="0"/>
                <w:sz w:val="20"/>
                <w:szCs w:val="20"/>
                <w:u w:val="single"/>
              </w:rPr>
              <w:t>nie jest objęty</w:t>
            </w:r>
            <w:r>
              <w:rPr>
                <w:rFonts w:ascii="Calibri" w:hAnsi="Calibri" w:cs="Calibri"/>
                <w:color w:val="000000"/>
                <w:kern w:val="0"/>
                <w:sz w:val="20"/>
                <w:szCs w:val="20"/>
              </w:rPr>
              <w:t>: miejscowym planem odbudowy,</w:t>
            </w:r>
          </w:p>
          <w:p w14:paraId="01C15725" w14:textId="77777777" w:rsidR="00675A1A" w:rsidRDefault="00675A1A" w:rsidP="00DE6727">
            <w:pPr>
              <w:spacing w:after="0" w:line="240" w:lineRule="auto"/>
              <w:ind w:right="49"/>
              <w:textAlignment w:val="baseline"/>
              <w:rPr>
                <w:rFonts w:ascii="Times New Roman" w:hAnsi="Times New Roman"/>
                <w:color w:val="000000"/>
                <w:kern w:val="0"/>
                <w:sz w:val="20"/>
                <w:szCs w:val="20"/>
              </w:rPr>
            </w:pPr>
            <w:r>
              <w:rPr>
                <w:rFonts w:ascii="Calibri" w:hAnsi="Calibri" w:cs="Calibri"/>
                <w:color w:val="000000"/>
                <w:kern w:val="0"/>
                <w:sz w:val="20"/>
                <w:szCs w:val="20"/>
              </w:rPr>
              <w:lastRenderedPageBreak/>
              <w:t>strefą ochronną terenu ochrony bezpośredniej i terenu ochrony pośredniej ujęcia wody.</w:t>
            </w:r>
          </w:p>
          <w:p w14:paraId="7138D771" w14:textId="77777777" w:rsidR="00675A1A" w:rsidRDefault="00675A1A" w:rsidP="00DE6727">
            <w:pPr>
              <w:spacing w:after="0" w:line="240" w:lineRule="auto"/>
              <w:rPr>
                <w:rFonts w:ascii="Times New Roman" w:hAnsi="Times New Roman"/>
                <w:kern w:val="0"/>
              </w:rPr>
            </w:pPr>
          </w:p>
          <w:p w14:paraId="2CAE0251" w14:textId="77777777" w:rsidR="00675A1A" w:rsidRDefault="00675A1A" w:rsidP="00DE6727">
            <w:pPr>
              <w:spacing w:after="0" w:line="240" w:lineRule="auto"/>
              <w:ind w:right="49"/>
              <w:rPr>
                <w:rFonts w:ascii="Times New Roman" w:hAnsi="Times New Roman"/>
                <w:kern w:val="0"/>
              </w:rPr>
            </w:pPr>
            <w:r>
              <w:rPr>
                <w:rFonts w:ascii="Calibri" w:hAnsi="Calibri" w:cs="Calibri"/>
                <w:color w:val="000000"/>
                <w:kern w:val="0"/>
                <w:sz w:val="20"/>
                <w:szCs w:val="20"/>
              </w:rPr>
              <w:t xml:space="preserve">Ponadto, na stronie internetowej </w:t>
            </w:r>
            <w:r>
              <w:rPr>
                <w:rFonts w:ascii="Calibri" w:hAnsi="Calibri" w:cs="Calibri"/>
                <w:color w:val="000000"/>
                <w:kern w:val="0"/>
                <w:sz w:val="20"/>
                <w:szCs w:val="20"/>
                <w:u w:val="single"/>
              </w:rPr>
              <w:t>http://molawa.e-mapa.net/</w:t>
            </w:r>
            <w:r>
              <w:rPr>
                <w:rFonts w:ascii="Calibri" w:hAnsi="Calibri" w:cs="Calibri"/>
                <w:color w:val="000000"/>
                <w:kern w:val="0"/>
                <w:sz w:val="20"/>
                <w:szCs w:val="20"/>
              </w:rPr>
              <w:t xml:space="preserve"> znajduje się portal mapowy „e-mapa” który umożliwia podgląd miejscowych planów zagospodarowania przestrzennego dot. tego obszaru. W części publicznej serwisu „e-mapa” jest możliwość przeglądania planu w przejrzystej, zinformatyzowanej formie, na tle danych ewidencyjnych i adresowych miasta Oława.</w:t>
            </w:r>
          </w:p>
          <w:p w14:paraId="2A9B9600" w14:textId="77777777" w:rsidR="00675A1A" w:rsidRDefault="00675A1A" w:rsidP="00DE6727">
            <w:pPr>
              <w:spacing w:after="0" w:line="240" w:lineRule="auto"/>
              <w:rPr>
                <w:rFonts w:ascii="Times New Roman" w:hAnsi="Times New Roman"/>
                <w:kern w:val="0"/>
              </w:rPr>
            </w:pPr>
          </w:p>
          <w:p w14:paraId="2DD636CC" w14:textId="77777777" w:rsidR="00675A1A" w:rsidRDefault="00675A1A" w:rsidP="00DE6727">
            <w:pPr>
              <w:spacing w:after="8" w:line="240" w:lineRule="auto"/>
              <w:ind w:right="79"/>
              <w:textAlignment w:val="baseline"/>
              <w:rPr>
                <w:rFonts w:ascii="Times New Roman" w:hAnsi="Times New Roman"/>
                <w:color w:val="000000"/>
                <w:kern w:val="0"/>
                <w:sz w:val="20"/>
                <w:szCs w:val="20"/>
              </w:rPr>
            </w:pPr>
            <w:r>
              <w:rPr>
                <w:rFonts w:ascii="Calibri" w:hAnsi="Calibri" w:cs="Calibri"/>
                <w:color w:val="000000"/>
                <w:kern w:val="0"/>
                <w:sz w:val="20"/>
                <w:szCs w:val="20"/>
              </w:rPr>
              <w:t>Uchwała Nr LII/338/14 z dnia 25 września 2014 r., opublikowana w Dzienniku Urzędowym Województwa Dolnośląskiego z dnia 02.10.2014 r. poz. 4075.</w:t>
            </w:r>
          </w:p>
          <w:p w14:paraId="0E00FDD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-link do strony</w:t>
            </w:r>
            <w:r>
              <w:rPr>
                <w:rFonts w:ascii="Calibri" w:hAnsi="Calibri" w:cs="Calibri"/>
                <w:color w:val="000000"/>
                <w:kern w:val="0"/>
                <w:sz w:val="20"/>
                <w:szCs w:val="20"/>
              </w:rPr>
              <w:t xml:space="preserve"> internetowej </w:t>
            </w:r>
            <w:hyperlink r:id="rId13" w:history="1">
              <w:r>
                <w:rPr>
                  <w:rFonts w:ascii="Calibri" w:hAnsi="Calibri" w:cs="Calibri"/>
                  <w:color w:val="000000"/>
                  <w:kern w:val="0"/>
                  <w:sz w:val="20"/>
                  <w:szCs w:val="20"/>
                  <w:u w:val="single"/>
                </w:rPr>
                <w:t>http://molawa.e-mapa.net/</w:t>
              </w:r>
            </w:hyperlink>
            <w:r>
              <w:rPr>
                <w:rFonts w:ascii="Calibri" w:hAnsi="Calibri" w:cs="Calibri"/>
                <w:color w:val="000000"/>
                <w:kern w:val="0"/>
                <w:sz w:val="20"/>
                <w:szCs w:val="20"/>
                <w:u w:val="single"/>
              </w:rPr>
              <w:t xml:space="preserve">    </w:t>
            </w:r>
            <w:proofErr w:type="gramStart"/>
            <w:r>
              <w:rPr>
                <w:rFonts w:ascii="Calibri" w:hAnsi="Calibri" w:cs="Calibri"/>
                <w:color w:val="000000"/>
                <w:kern w:val="0"/>
                <w:sz w:val="20"/>
                <w:szCs w:val="20"/>
                <w:u w:val="single"/>
              </w:rPr>
              <w:t xml:space="preserve">  </w:t>
            </w:r>
            <w:r>
              <w:rPr>
                <w:rFonts w:ascii="Calibri" w:hAnsi="Calibri" w:cs="Calibri"/>
                <w:color w:val="000000"/>
                <w:kern w:val="0"/>
                <w:sz w:val="20"/>
                <w:szCs w:val="20"/>
              </w:rPr>
              <w:t> (</w:t>
            </w:r>
            <w:proofErr w:type="gramEnd"/>
            <w:r>
              <w:rPr>
                <w:rFonts w:ascii="Calibri" w:hAnsi="Calibri" w:cs="Calibri"/>
                <w:color w:val="000000"/>
                <w:kern w:val="0"/>
                <w:sz w:val="20"/>
                <w:szCs w:val="20"/>
              </w:rPr>
              <w:t>portal mapowy „e-mapa”)</w:t>
            </w:r>
          </w:p>
        </w:tc>
      </w:tr>
      <w:tr w:rsidR="00675A1A" w14:paraId="3D1A07F1" w14:textId="77777777" w:rsidTr="00DE6727">
        <w:trPr>
          <w:trHeight w:val="2122"/>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BBBC160"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6847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Miejscowy plan zagospodarowania przestrzennego</w:t>
            </w:r>
          </w:p>
        </w:tc>
        <w:tc>
          <w:tcPr>
            <w:tcW w:w="1648" w:type="pct"/>
            <w:vMerge/>
            <w:tcBorders>
              <w:top w:val="single" w:sz="4" w:space="0" w:color="000000"/>
              <w:left w:val="single" w:sz="4" w:space="0" w:color="000000"/>
              <w:bottom w:val="single" w:sz="4" w:space="0" w:color="000000"/>
              <w:right w:val="single" w:sz="4" w:space="0" w:color="000000"/>
            </w:tcBorders>
            <w:vAlign w:val="center"/>
            <w:hideMark/>
          </w:tcPr>
          <w:p w14:paraId="4845E975" w14:textId="77777777" w:rsidR="00675A1A" w:rsidRDefault="00675A1A" w:rsidP="00DE6727">
            <w:pPr>
              <w:spacing w:after="0" w:line="240" w:lineRule="auto"/>
              <w:rPr>
                <w:rFonts w:ascii="Times New Roman" w:hAnsi="Times New Roman"/>
                <w:kern w:val="0"/>
              </w:rPr>
            </w:pPr>
          </w:p>
        </w:tc>
      </w:tr>
      <w:tr w:rsidR="00675A1A" w14:paraId="078F707F" w14:textId="77777777" w:rsidTr="00DE6727">
        <w:trPr>
          <w:trHeight w:val="2117"/>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2AAF8B9C"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B981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Miejscowy plan odbudowy</w:t>
            </w:r>
          </w:p>
        </w:tc>
        <w:tc>
          <w:tcPr>
            <w:tcW w:w="1648" w:type="pct"/>
            <w:vMerge/>
            <w:tcBorders>
              <w:top w:val="single" w:sz="4" w:space="0" w:color="000000"/>
              <w:left w:val="single" w:sz="4" w:space="0" w:color="000000"/>
              <w:bottom w:val="single" w:sz="4" w:space="0" w:color="000000"/>
              <w:right w:val="single" w:sz="4" w:space="0" w:color="000000"/>
            </w:tcBorders>
            <w:vAlign w:val="center"/>
            <w:hideMark/>
          </w:tcPr>
          <w:p w14:paraId="2556A1F1" w14:textId="77777777" w:rsidR="00675A1A" w:rsidRDefault="00675A1A" w:rsidP="00DE6727">
            <w:pPr>
              <w:spacing w:after="0" w:line="240" w:lineRule="auto"/>
              <w:rPr>
                <w:rFonts w:ascii="Times New Roman" w:hAnsi="Times New Roman"/>
                <w:kern w:val="0"/>
              </w:rPr>
            </w:pPr>
          </w:p>
        </w:tc>
      </w:tr>
      <w:tr w:rsidR="00675A1A" w14:paraId="4A1AD126" w14:textId="77777777" w:rsidTr="00DE6727">
        <w:trPr>
          <w:trHeight w:val="26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24DB78BA"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B34114" w14:textId="77777777" w:rsidR="00675A1A" w:rsidRPr="00F27FB4" w:rsidRDefault="00675A1A" w:rsidP="00DE6727">
            <w:pPr>
              <w:spacing w:after="0" w:line="240" w:lineRule="auto"/>
              <w:rPr>
                <w:rFonts w:ascii="Times New Roman" w:hAnsi="Times New Roman"/>
                <w:kern w:val="0"/>
                <w:sz w:val="22"/>
                <w:szCs w:val="22"/>
              </w:rPr>
            </w:pPr>
            <w:r w:rsidRPr="00F27FB4">
              <w:rPr>
                <w:rFonts w:ascii="Calibri" w:hAnsi="Calibri" w:cs="Calibri"/>
                <w:color w:val="000000"/>
                <w:kern w:val="0"/>
                <w:sz w:val="22"/>
                <w:szCs w:val="22"/>
              </w:rPr>
              <w:t>Inne</w:t>
            </w:r>
          </w:p>
        </w:tc>
        <w:tc>
          <w:tcPr>
            <w:tcW w:w="1648" w:type="pct"/>
            <w:vMerge/>
            <w:tcBorders>
              <w:top w:val="single" w:sz="4" w:space="0" w:color="000000"/>
              <w:left w:val="single" w:sz="4" w:space="0" w:color="000000"/>
              <w:bottom w:val="single" w:sz="4" w:space="0" w:color="000000"/>
              <w:right w:val="single" w:sz="4" w:space="0" w:color="000000"/>
            </w:tcBorders>
            <w:vAlign w:val="center"/>
            <w:hideMark/>
          </w:tcPr>
          <w:p w14:paraId="01D45703" w14:textId="77777777" w:rsidR="00675A1A" w:rsidRDefault="00675A1A" w:rsidP="00DE6727">
            <w:pPr>
              <w:spacing w:after="0" w:line="240" w:lineRule="auto"/>
              <w:rPr>
                <w:rFonts w:ascii="Times New Roman" w:hAnsi="Times New Roman"/>
                <w:kern w:val="0"/>
              </w:rPr>
            </w:pPr>
          </w:p>
        </w:tc>
      </w:tr>
      <w:tr w:rsidR="00675A1A" w14:paraId="17CDBD44" w14:textId="77777777" w:rsidTr="00DE6727">
        <w:trPr>
          <w:trHeight w:val="156"/>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01D68E74" w14:textId="77777777" w:rsidR="00675A1A" w:rsidRDefault="00675A1A" w:rsidP="00DE6727">
            <w:pPr>
              <w:spacing w:after="145" w:line="240" w:lineRule="auto"/>
              <w:rPr>
                <w:rFonts w:ascii="Times New Roman" w:hAnsi="Times New Roman"/>
                <w:kern w:val="0"/>
              </w:rPr>
            </w:pPr>
            <w:r>
              <w:rPr>
                <w:rFonts w:ascii="Calibri" w:hAnsi="Calibri" w:cs="Calibri"/>
                <w:color w:val="000000"/>
                <w:kern w:val="0"/>
                <w:sz w:val="20"/>
                <w:szCs w:val="20"/>
              </w:rPr>
              <w:t>Ustalenia obowiązującego miejscowego planu zagospodarowania przestrzennego dla terenu objętego przedsięwzięciem deweloperskim lub zadaniem inwestycyjnym</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3B4F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Przeznaczenie terenu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2EDE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7MN/U –zabudowa mieszkaniowa jednorodzinna lub zabudowa mieszkaniowa jednorodzinna z usługami nieuciążliwymi - wg Uchwały Nr LII/338/14 z dn. 25 września 2014 r.</w:t>
            </w:r>
          </w:p>
        </w:tc>
      </w:tr>
      <w:tr w:rsidR="00675A1A" w14:paraId="4ED9446A"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AE2A754"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3A223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i minimalna nadziemna intensywność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0B7D4" w14:textId="77777777" w:rsidR="00675A1A" w:rsidRPr="005E0793" w:rsidRDefault="00675A1A" w:rsidP="00DE6727">
            <w:pPr>
              <w:spacing w:after="0" w:line="240" w:lineRule="auto"/>
              <w:rPr>
                <w:rFonts w:ascii="Calibri" w:hAnsi="Calibri" w:cs="Calibri"/>
                <w:kern w:val="0"/>
                <w:sz w:val="20"/>
                <w:szCs w:val="20"/>
              </w:rPr>
            </w:pPr>
            <w:r w:rsidRPr="005E0793">
              <w:rPr>
                <w:rFonts w:ascii="Calibri" w:hAnsi="Calibri" w:cs="Calibri"/>
                <w:kern w:val="0"/>
                <w:sz w:val="20"/>
                <w:szCs w:val="20"/>
              </w:rPr>
              <w:t xml:space="preserve">Wskaźnik intensywności w granicach 0.2-2.0 </w:t>
            </w:r>
          </w:p>
        </w:tc>
      </w:tr>
      <w:tr w:rsidR="00675A1A" w14:paraId="4203BFAB"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00226EDA"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35A9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powierzchnia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731F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40%</w:t>
            </w:r>
          </w:p>
        </w:tc>
      </w:tr>
      <w:tr w:rsidR="00675A1A" w14:paraId="0656E018"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24DCEA26"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F844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wysokość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274C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Wysokość budynków nie może przekraczać 12 m.</w:t>
            </w:r>
          </w:p>
        </w:tc>
      </w:tr>
      <w:tr w:rsidR="00675A1A" w14:paraId="04051A0E"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DDFBE7A"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B2C4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Minimalny udział procentowy powierzchni biologicznie czynnej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E977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Pow. biologicznie czynna powinna zajmować co najmniej 40 % powierzchni działki dla zabudowy mieszkaniowej jednorodzinnej.</w:t>
            </w:r>
          </w:p>
        </w:tc>
      </w:tr>
      <w:tr w:rsidR="00675A1A" w14:paraId="695D8CD1"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2C5478D"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6DC7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Minimalna liczba miejsc do parkowania</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49ED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1 stanowisko postojowe na 1 mieszkanie.</w:t>
            </w:r>
          </w:p>
        </w:tc>
      </w:tr>
      <w:tr w:rsidR="00675A1A" w14:paraId="6F7ADBEA"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4F02669"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E66FB"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Warunki ochrony środowiska i zdrowia ludzi, przyrody i krajobrazu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1870B" w14:textId="77777777" w:rsidR="00675A1A" w:rsidRDefault="00675A1A" w:rsidP="00DE6727">
            <w:pPr>
              <w:numPr>
                <w:ilvl w:val="0"/>
                <w:numId w:val="3"/>
              </w:num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Przedsięwzięcie</w:t>
            </w:r>
          </w:p>
          <w:p w14:paraId="1066A55D" w14:textId="77777777" w:rsidR="00675A1A" w:rsidRDefault="00675A1A" w:rsidP="00DE6727">
            <w:pPr>
              <w:spacing w:after="0" w:line="240" w:lineRule="auto"/>
              <w:ind w:left="720"/>
              <w:textAlignment w:val="baseline"/>
              <w:rPr>
                <w:rFonts w:ascii="Calibri" w:hAnsi="Calibri" w:cs="Calibri"/>
                <w:color w:val="000000"/>
                <w:kern w:val="0"/>
                <w:sz w:val="20"/>
                <w:szCs w:val="20"/>
              </w:rPr>
            </w:pPr>
            <w:r>
              <w:rPr>
                <w:rFonts w:ascii="Calibri" w:hAnsi="Calibri" w:cs="Calibri"/>
                <w:color w:val="000000"/>
                <w:kern w:val="0"/>
                <w:sz w:val="20"/>
                <w:szCs w:val="20"/>
              </w:rPr>
              <w:t>deweloperskie nie znajduje się w granicach obszaru ochrony Natura 2000. </w:t>
            </w:r>
          </w:p>
          <w:p w14:paraId="4CE297B5" w14:textId="77777777" w:rsidR="00675A1A" w:rsidRDefault="00675A1A" w:rsidP="00DE6727">
            <w:pPr>
              <w:numPr>
                <w:ilvl w:val="0"/>
                <w:numId w:val="3"/>
              </w:num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 xml:space="preserve">Na podstawie Rozporządzenia Rady Ministrów z dn. 24 września 2002 r. (Dz. U. 179 poz. 1490) przedsięwzięcie </w:t>
            </w:r>
            <w:r>
              <w:rPr>
                <w:rFonts w:ascii="Calibri" w:hAnsi="Calibri" w:cs="Calibri"/>
                <w:color w:val="000000"/>
                <w:kern w:val="0"/>
                <w:sz w:val="20"/>
                <w:szCs w:val="20"/>
              </w:rPr>
              <w:lastRenderedPageBreak/>
              <w:t>deweloperskie nie należy do inwestycji mogących pogorszyć stan środowiska naturalnego, w tym zwłaszcza stan czystości wód podziemnych I powierzchniowych. Budynek podłączony będzie do sieci wodociągowej I kanalizacji sanitarnej.</w:t>
            </w:r>
          </w:p>
          <w:p w14:paraId="2BE2DA10" w14:textId="77777777" w:rsidR="00675A1A" w:rsidRDefault="00675A1A" w:rsidP="00DE6727">
            <w:pPr>
              <w:numPr>
                <w:ilvl w:val="0"/>
                <w:numId w:val="3"/>
              </w:num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W zakresie ochrony krajobrazu kulturowego ustala się:</w:t>
            </w:r>
          </w:p>
          <w:p w14:paraId="38D47373" w14:textId="77777777" w:rsidR="00675A1A" w:rsidRDefault="00675A1A" w:rsidP="00DE6727">
            <w:p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 xml:space="preserve">       -  dla dachów spadzistych        </w:t>
            </w:r>
          </w:p>
          <w:p w14:paraId="495DE23C" w14:textId="77777777" w:rsidR="00675A1A" w:rsidRDefault="00675A1A" w:rsidP="00DE6727">
            <w:p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 xml:space="preserve">       należy stosować do   </w:t>
            </w:r>
          </w:p>
          <w:p w14:paraId="31BD015F" w14:textId="77777777" w:rsidR="00675A1A" w:rsidRDefault="00675A1A" w:rsidP="00DE6727">
            <w:p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 xml:space="preserve">       pokrycia dachówkę </w:t>
            </w:r>
          </w:p>
          <w:p w14:paraId="3AEA70BB" w14:textId="77777777" w:rsidR="00675A1A" w:rsidRDefault="00675A1A" w:rsidP="00DE6727">
            <w:p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 xml:space="preserve">       ceramiczną lub materiał  </w:t>
            </w:r>
          </w:p>
          <w:p w14:paraId="4EF379E5" w14:textId="77777777" w:rsidR="00675A1A" w:rsidRDefault="00675A1A" w:rsidP="00DE6727">
            <w:pPr>
              <w:spacing w:after="0" w:line="240" w:lineRule="auto"/>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       </w:t>
            </w:r>
            <w:proofErr w:type="spellStart"/>
            <w:r>
              <w:rPr>
                <w:rFonts w:ascii="Calibri" w:hAnsi="Calibri" w:cs="Calibri"/>
                <w:color w:val="000000"/>
                <w:kern w:val="0"/>
                <w:sz w:val="20"/>
                <w:szCs w:val="20"/>
              </w:rPr>
              <w:t>dachówkopodobny</w:t>
            </w:r>
            <w:proofErr w:type="spellEnd"/>
          </w:p>
          <w:p w14:paraId="6D98165D"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 ustala się dopuszczalne     </w:t>
            </w:r>
          </w:p>
          <w:p w14:paraId="7E9ED542"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formy dachów: </w:t>
            </w:r>
          </w:p>
          <w:p w14:paraId="2E683F56"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dwuspadowe, </w:t>
            </w:r>
          </w:p>
          <w:p w14:paraId="7052918B"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wielospadowe, </w:t>
            </w:r>
          </w:p>
          <w:p w14:paraId="2AA67064"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symetryczne o nachyleniu </w:t>
            </w:r>
          </w:p>
          <w:p w14:paraId="4E327F93"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połaci od 30 do 35 stopni, </w:t>
            </w:r>
          </w:p>
          <w:p w14:paraId="0254FCAD"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mansardowe, dowolne dla </w:t>
            </w:r>
          </w:p>
          <w:p w14:paraId="116E3D43"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zabudowy szeregowej</w:t>
            </w:r>
          </w:p>
          <w:p w14:paraId="4D30E099"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 skala nowoprojektowanej  </w:t>
            </w:r>
          </w:p>
          <w:p w14:paraId="67253355"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zabudowy na obszarze </w:t>
            </w:r>
          </w:p>
          <w:p w14:paraId="192F3759"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objętym opracowaniem </w:t>
            </w:r>
          </w:p>
          <w:p w14:paraId="436B0149"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planu winna być </w:t>
            </w:r>
          </w:p>
          <w:p w14:paraId="7B1D30F2"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dostosowana do skali </w:t>
            </w:r>
          </w:p>
          <w:p w14:paraId="29EBB58B"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 xml:space="preserve">zabudowy na sąsiednich </w:t>
            </w:r>
          </w:p>
          <w:p w14:paraId="52A05243" w14:textId="77777777" w:rsidR="00675A1A" w:rsidRDefault="00675A1A" w:rsidP="00DE6727">
            <w:pPr>
              <w:numPr>
                <w:ilvl w:val="0"/>
                <w:numId w:val="1"/>
              </w:numPr>
              <w:spacing w:after="0" w:line="240" w:lineRule="auto"/>
              <w:ind w:left="0"/>
              <w:textAlignment w:val="baseline"/>
              <w:rPr>
                <w:rFonts w:ascii="Times New Roman" w:hAnsi="Times New Roman"/>
                <w:color w:val="000000"/>
                <w:kern w:val="0"/>
                <w:sz w:val="20"/>
                <w:szCs w:val="20"/>
              </w:rPr>
            </w:pPr>
            <w:r>
              <w:rPr>
                <w:rFonts w:ascii="Calibri" w:hAnsi="Calibri" w:cs="Calibri"/>
                <w:color w:val="000000"/>
                <w:kern w:val="0"/>
                <w:sz w:val="20"/>
                <w:szCs w:val="20"/>
              </w:rPr>
              <w:t>terenach.</w:t>
            </w:r>
          </w:p>
          <w:p w14:paraId="6B80BA17" w14:textId="77777777" w:rsidR="00675A1A" w:rsidRDefault="00675A1A" w:rsidP="00DE6727">
            <w:pPr>
              <w:numPr>
                <w:ilvl w:val="0"/>
                <w:numId w:val="3"/>
              </w:num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 xml:space="preserve">W zakresie wymagań     </w:t>
            </w:r>
          </w:p>
          <w:p w14:paraId="446FF7D2" w14:textId="77777777" w:rsidR="00675A1A" w:rsidRDefault="00675A1A" w:rsidP="00DE6727">
            <w:pPr>
              <w:spacing w:after="0" w:line="240" w:lineRule="auto"/>
              <w:ind w:left="720"/>
              <w:textAlignment w:val="baseline"/>
              <w:rPr>
                <w:rFonts w:ascii="Calibri" w:hAnsi="Calibri" w:cs="Calibri"/>
                <w:color w:val="000000"/>
                <w:kern w:val="0"/>
                <w:sz w:val="20"/>
                <w:szCs w:val="20"/>
              </w:rPr>
            </w:pPr>
            <w:r>
              <w:rPr>
                <w:rFonts w:ascii="Calibri" w:hAnsi="Calibri" w:cs="Calibri"/>
                <w:color w:val="000000"/>
                <w:kern w:val="0"/>
                <w:sz w:val="20"/>
                <w:szCs w:val="20"/>
              </w:rPr>
              <w:t>wynikających z potrzeb kształtowania przestrzeni</w:t>
            </w:r>
          </w:p>
          <w:p w14:paraId="168309AF" w14:textId="77777777" w:rsidR="00675A1A" w:rsidRDefault="00675A1A" w:rsidP="00DE6727">
            <w:pPr>
              <w:spacing w:after="0" w:line="240" w:lineRule="auto"/>
              <w:textAlignment w:val="baseline"/>
              <w:rPr>
                <w:rFonts w:ascii="Calibri" w:hAnsi="Calibri" w:cs="Calibri"/>
                <w:color w:val="000000"/>
                <w:kern w:val="0"/>
                <w:sz w:val="20"/>
                <w:szCs w:val="20"/>
              </w:rPr>
            </w:pPr>
            <w:r>
              <w:rPr>
                <w:rFonts w:ascii="Calibri" w:hAnsi="Calibri" w:cs="Calibri"/>
                <w:color w:val="000000"/>
                <w:kern w:val="0"/>
                <w:sz w:val="20"/>
                <w:szCs w:val="20"/>
              </w:rPr>
              <w:t>publicznych ustala się: </w:t>
            </w:r>
          </w:p>
          <w:p w14:paraId="3C17429C" w14:textId="77777777" w:rsidR="00675A1A" w:rsidRDefault="00675A1A" w:rsidP="00DE6727">
            <w:pPr>
              <w:spacing w:after="0" w:line="240" w:lineRule="auto"/>
              <w:rPr>
                <w:rFonts w:ascii="Calibri" w:hAnsi="Calibri" w:cs="Calibri"/>
                <w:color w:val="000000"/>
                <w:kern w:val="0"/>
                <w:sz w:val="20"/>
                <w:szCs w:val="20"/>
              </w:rPr>
            </w:pPr>
            <w:r>
              <w:rPr>
                <w:rFonts w:ascii="Calibri" w:hAnsi="Calibri" w:cs="Calibri"/>
                <w:color w:val="000000"/>
                <w:kern w:val="0"/>
                <w:sz w:val="20"/>
                <w:szCs w:val="20"/>
              </w:rPr>
              <w:t>- dopuszczenie realizacji frontowych ogrodzeń ażurowych o wysokości nie wyższej niż 1,7 m i zastosowaniu takich materiałów jak cegła, drewno, kamień, metaloplastyka, dopuszcza się także ogrodzenia w formie żywopłotów, zakazuje się stosowania prefabrykowanych elementów betonowych.</w:t>
            </w:r>
          </w:p>
          <w:p w14:paraId="636331D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    5) Wskaźnik intensywności zabudowy mieścić się w granicach od 0,2 do 2,0.</w:t>
            </w:r>
          </w:p>
        </w:tc>
      </w:tr>
      <w:tr w:rsidR="00675A1A" w14:paraId="6C63F6AC"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7539AAA"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152E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Wymagania dotyczące zabudowy i zagospodarowania terenu położonego na obszarach szczególnego zagrożenia powodzią</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B7793C"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 xml:space="preserve">Na podstawie map zagrożenia powodziowego dla miasta Oława - zgodnie z art 169 ust. 1, 2, w związku z art. 555 ust. 2 pkt 5 </w:t>
            </w:r>
            <w:r>
              <w:rPr>
                <w:rFonts w:ascii="Calibri" w:hAnsi="Calibri" w:cs="Calibri"/>
                <w:color w:val="000000"/>
                <w:kern w:val="0"/>
                <w:sz w:val="20"/>
                <w:szCs w:val="20"/>
              </w:rPr>
              <w:lastRenderedPageBreak/>
              <w:t>Prawa wodnego (</w:t>
            </w:r>
            <w:proofErr w:type="spellStart"/>
            <w:r>
              <w:rPr>
                <w:rFonts w:ascii="Calibri" w:hAnsi="Calibri" w:cs="Calibri"/>
                <w:color w:val="000000"/>
                <w:kern w:val="0"/>
                <w:sz w:val="20"/>
                <w:szCs w:val="20"/>
              </w:rPr>
              <w:t>t.j</w:t>
            </w:r>
            <w:proofErr w:type="spellEnd"/>
            <w:r>
              <w:rPr>
                <w:rFonts w:ascii="Calibri" w:hAnsi="Calibri" w:cs="Calibri"/>
                <w:color w:val="000000"/>
                <w:kern w:val="0"/>
                <w:sz w:val="20"/>
                <w:szCs w:val="20"/>
              </w:rPr>
              <w:t xml:space="preserve">.: Dz. U. z 2022 r. poz. 2625 ze zm.) ustalono, </w:t>
            </w:r>
            <w:r>
              <w:rPr>
                <w:rFonts w:ascii="Calibri" w:hAnsi="Calibri" w:cs="Calibri"/>
                <w:color w:val="000000"/>
                <w:kern w:val="0"/>
                <w:sz w:val="20"/>
                <w:szCs w:val="20"/>
                <w:u w:val="single"/>
              </w:rPr>
              <w:t>że teren objęty przedsięwzięciem deweloperskim</w:t>
            </w:r>
            <w:r>
              <w:rPr>
                <w:rFonts w:ascii="Calibri" w:hAnsi="Calibri" w:cs="Calibri"/>
                <w:color w:val="000000"/>
                <w:kern w:val="0"/>
                <w:sz w:val="20"/>
                <w:szCs w:val="20"/>
              </w:rPr>
              <w:t>:</w:t>
            </w:r>
          </w:p>
          <w:p w14:paraId="6EB2C78A"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 położony jest poza obszarem, na którym prawdopodobieństwo wystąpienia powodzi jest niskie i wynosi 0,2%;</w:t>
            </w:r>
          </w:p>
          <w:p w14:paraId="5B9DE3AE"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 położony jest poza obszarem, na których prawdopodobieństwo wystąpienia powodzi jest średnie i wynosi 1%;</w:t>
            </w:r>
          </w:p>
          <w:p w14:paraId="53346F70" w14:textId="77777777" w:rsidR="00675A1A" w:rsidRDefault="00675A1A" w:rsidP="00DE6727">
            <w:pPr>
              <w:spacing w:after="0" w:line="240" w:lineRule="auto"/>
              <w:ind w:right="79" w:hanging="13"/>
              <w:rPr>
                <w:rFonts w:ascii="Times New Roman" w:hAnsi="Times New Roman"/>
                <w:kern w:val="0"/>
              </w:rPr>
            </w:pPr>
            <w:r>
              <w:rPr>
                <w:rFonts w:ascii="Calibri" w:hAnsi="Calibri" w:cs="Calibri"/>
                <w:color w:val="000000"/>
                <w:kern w:val="0"/>
                <w:sz w:val="20"/>
                <w:szCs w:val="20"/>
              </w:rPr>
              <w:t>-   położony jest poza obszarami, na których prawdopodobieństwo wystąpienia powodzi jest wysokie i wynosi 10%;</w:t>
            </w:r>
          </w:p>
          <w:p w14:paraId="1DA404BD"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-położony jest poza obszarem obejmującym tereny narażone na zalanie w przypadku uszkodzenia lub zniszczenia wału przeciwpowodziowego.</w:t>
            </w:r>
          </w:p>
          <w:p w14:paraId="3856937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W związku z tym nie zachodzą tu okoliczności ograniczenia planowanej zabudowy, o których mowa w art. 166 ustawy z dnia 20 lipca </w:t>
            </w:r>
            <w:proofErr w:type="gramStart"/>
            <w:r>
              <w:rPr>
                <w:rFonts w:ascii="Calibri" w:hAnsi="Calibri" w:cs="Calibri"/>
                <w:color w:val="000000"/>
                <w:kern w:val="0"/>
                <w:sz w:val="20"/>
                <w:szCs w:val="20"/>
              </w:rPr>
              <w:t>2017r.</w:t>
            </w:r>
            <w:proofErr w:type="gramEnd"/>
            <w:r>
              <w:rPr>
                <w:rFonts w:ascii="Calibri" w:hAnsi="Calibri" w:cs="Calibri"/>
                <w:color w:val="000000"/>
                <w:kern w:val="0"/>
                <w:sz w:val="20"/>
                <w:szCs w:val="20"/>
              </w:rPr>
              <w:t xml:space="preserve"> Prawo wodne.</w:t>
            </w:r>
          </w:p>
        </w:tc>
      </w:tr>
      <w:tr w:rsidR="00675A1A" w14:paraId="73317BAC"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1FB1866"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3DAE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Warunki ochrony dziedzictwa kulturowego i zabytków oraz dóbr kultury współczesnej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5154D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dotyczy.</w:t>
            </w:r>
          </w:p>
        </w:tc>
      </w:tr>
      <w:tr w:rsidR="00675A1A" w14:paraId="00E678C3"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C626A13"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C26A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Wymagania dotyczące ochrony innych terenów lub obiektów podlegających ochronie na podstawie przepisów odrębnych   </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3C70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dotyczy.</w:t>
            </w:r>
          </w:p>
        </w:tc>
      </w:tr>
      <w:tr w:rsidR="00675A1A" w14:paraId="281EACDA"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24B38D02"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355A1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Warunki i szczegółowe zasady obsługi w zakresie komunikacji</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E444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dotyczy.</w:t>
            </w:r>
          </w:p>
        </w:tc>
      </w:tr>
      <w:tr w:rsidR="00675A1A" w14:paraId="1210A860" w14:textId="77777777" w:rsidTr="00DE6727">
        <w:trPr>
          <w:trHeight w:val="154"/>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3BDA00E3"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0C83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Warunki i szczegółowe zasady obsługi w zakresie infrastruktury technicznej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D2E2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 zakresie zasad modernizacji, rozbudowy i budowy systemów infrastruktury technicznej dopuszcza się rozwiązania techniczne służące zatrzymaniu wód opadowych na terenie działki.</w:t>
            </w:r>
          </w:p>
        </w:tc>
      </w:tr>
      <w:tr w:rsidR="00675A1A" w14:paraId="05EC7D2D" w14:textId="77777777" w:rsidTr="00DE6727">
        <w:trPr>
          <w:trHeight w:val="410"/>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418174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Ustalenia obowiązującego miejscowego planu zagospodarowania </w:t>
            </w:r>
          </w:p>
          <w:p w14:paraId="4B43008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przestrzennego dla działek lub ich fragmentów, znajdujących się w odległości do 100 m od granicy terenu objętego przedsięwzięciem deweloperskim lub zadaniem inwestycyjnym</w:t>
            </w:r>
            <w:r>
              <w:rPr>
                <w:rFonts w:ascii="Calibri" w:hAnsi="Calibri" w:cs="Calibri"/>
                <w:color w:val="000000"/>
                <w:kern w:val="0"/>
                <w:sz w:val="12"/>
                <w:szCs w:val="12"/>
                <w:vertAlign w:val="superscript"/>
              </w:rPr>
              <w:t>)</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77F1D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Przeznaczenie terenu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4B04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4MN, 5MN, 6MN, 8MN – zabudowa mieszkaniowa jednorodzinna,</w:t>
            </w:r>
          </w:p>
          <w:p w14:paraId="456C377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7MN/U – zabudowa mieszkaniowa jednorodzinna lub zabudowa jednorodzinna z usługami nieuciążliwymi,</w:t>
            </w:r>
          </w:p>
          <w:p w14:paraId="6399951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2ZI, 4ZI - zieleń izolacyjna z zakazem lokalizacji obiektów budowlanych z wyjątkiem urządzeń infrastruktury technicznej i stacji transformatorowych, </w:t>
            </w:r>
          </w:p>
          <w:p w14:paraId="15FA908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3KDW, 4KDW, 9KDW – drogi </w:t>
            </w:r>
            <w:r>
              <w:rPr>
                <w:rFonts w:ascii="Calibri" w:hAnsi="Calibri" w:cs="Calibri"/>
                <w:color w:val="000000"/>
                <w:kern w:val="0"/>
                <w:sz w:val="20"/>
                <w:szCs w:val="20"/>
              </w:rPr>
              <w:lastRenderedPageBreak/>
              <w:t>wewnętrzne, </w:t>
            </w:r>
          </w:p>
          <w:p w14:paraId="4886F20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1KDGP – drogi publiczne klasy głównej ruchu przyśpieszonego.</w:t>
            </w:r>
          </w:p>
          <w:p w14:paraId="7BFF6A07" w14:textId="77777777" w:rsidR="00675A1A" w:rsidRDefault="00675A1A" w:rsidP="00DE6727">
            <w:pPr>
              <w:spacing w:after="0" w:line="240" w:lineRule="auto"/>
              <w:rPr>
                <w:rFonts w:ascii="Times New Roman" w:hAnsi="Times New Roman"/>
                <w:kern w:val="0"/>
              </w:rPr>
            </w:pPr>
          </w:p>
          <w:p w14:paraId="109381F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Ponadto, na stronie internetowej </w:t>
            </w:r>
            <w:r>
              <w:rPr>
                <w:rFonts w:ascii="Calibri" w:hAnsi="Calibri" w:cs="Calibri"/>
                <w:color w:val="000000"/>
                <w:kern w:val="0"/>
                <w:sz w:val="20"/>
                <w:szCs w:val="20"/>
                <w:u w:val="single"/>
              </w:rPr>
              <w:t>http://molawa.e-mapa.net/</w:t>
            </w:r>
            <w:r>
              <w:rPr>
                <w:rFonts w:ascii="Calibri" w:hAnsi="Calibri" w:cs="Calibri"/>
                <w:color w:val="000000"/>
                <w:kern w:val="0"/>
                <w:sz w:val="20"/>
                <w:szCs w:val="20"/>
              </w:rPr>
              <w:t xml:space="preserve"> znajduje się portal mapowy „e-mapa” który umożliwia podgląd miejscowych planów zagospodarowania przestrzennego, oraz Studium Uwarunkowań i Kierunków Zagospodarowania Przestrzennego miasta Oława. W części publicznej serwisu „e-mapa” jest możliwość przeglądania planu w przejrzystej, zinformatyzowanej formie, na tle danych ewidencyjnych i adresowych miasta Oława.</w:t>
            </w:r>
          </w:p>
        </w:tc>
      </w:tr>
      <w:tr w:rsidR="00675A1A" w14:paraId="3B4EAED4" w14:textId="77777777" w:rsidTr="00DE6727">
        <w:trPr>
          <w:trHeight w:val="40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C8AE889"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07AAA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intensywność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AD58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0,2 do 2,0.</w:t>
            </w:r>
          </w:p>
        </w:tc>
      </w:tr>
      <w:tr w:rsidR="00675A1A" w14:paraId="278FDAA5" w14:textId="77777777" w:rsidTr="00DE6727">
        <w:trPr>
          <w:trHeight w:val="40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495CE7C"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1F523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i minimalna nadziemna intensywność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2331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Wskaźnik intensywności zabudowy mieścić się w granicach od 0,2 do 2,0. </w:t>
            </w:r>
          </w:p>
        </w:tc>
      </w:tr>
      <w:tr w:rsidR="00675A1A" w14:paraId="1B35CDE9" w14:textId="77777777" w:rsidTr="00DE6727">
        <w:trPr>
          <w:trHeight w:val="40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4C3B020"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8A0B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powierzchnia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9F48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2"/>
                <w:szCs w:val="22"/>
              </w:rPr>
              <w:t>40%</w:t>
            </w:r>
          </w:p>
        </w:tc>
      </w:tr>
      <w:tr w:rsidR="00675A1A" w14:paraId="6758C7E7" w14:textId="77777777" w:rsidTr="00DE6727">
        <w:trPr>
          <w:trHeight w:val="40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A291D56"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7673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Maksymalna wysokość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EEC3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Wysokość budynków nie może przekraczać 12 m.</w:t>
            </w:r>
          </w:p>
        </w:tc>
      </w:tr>
      <w:tr w:rsidR="00675A1A" w14:paraId="195EB84C" w14:textId="77777777" w:rsidTr="00DE6727">
        <w:trPr>
          <w:trHeight w:val="40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3F9E586"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7222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Minimalny udział procentowy powierzchni biologicznie czynnej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59E7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Dla przeznaczenia terenu 4MN, 5MN, 6MN, 8MN – powierzchnia biologicznie czynna poszczególnych działek powinna zajmować co najmniej 40 % powierzchni działek.</w:t>
            </w:r>
          </w:p>
          <w:p w14:paraId="326CF77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Dla przeznaczenia terenu 7MN/U – powierzchnia biologicznie czynna poszczególnych działek powinna zajmować co najmniej 40 % powierzchni działek.</w:t>
            </w:r>
          </w:p>
        </w:tc>
      </w:tr>
      <w:tr w:rsidR="00675A1A" w14:paraId="1AEE39FF" w14:textId="77777777" w:rsidTr="00DE6727">
        <w:trPr>
          <w:trHeight w:val="406"/>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1D0FF31"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DAF4D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Minimalna liczba miejsc do parkowania</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71A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Dla przeznaczenia terenu 4MN, 5MN, 6MN, 8MN - 1 stanowisko postojowe na 1 mieszkanie.</w:t>
            </w:r>
          </w:p>
          <w:p w14:paraId="564472A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Dla przeznaczenia terenu 7MN/U - 1 stanowisko postojowe na 1 mieszkanie oraz 1 stanowisko postojowe na każde rozpoczęte 40,0 m2 pow. użytkowej usług.</w:t>
            </w:r>
          </w:p>
        </w:tc>
      </w:tr>
      <w:tr w:rsidR="00675A1A" w14:paraId="697CBCFF" w14:textId="77777777" w:rsidTr="00DE6727">
        <w:trPr>
          <w:trHeight w:val="761"/>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4033A54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Ustalenia decyzji o warunkach zabudowy albo decyzji o ustaleniu lokalizacji inwestycji celu publicznego dla terenu objętego przedsięwzięciem deweloperskim lub zadaniem inwestycyjnym w przypadku braku miejscowego planu </w:t>
            </w:r>
            <w:r>
              <w:rPr>
                <w:rFonts w:ascii="Calibri" w:hAnsi="Calibri" w:cs="Calibri"/>
                <w:color w:val="000000"/>
                <w:kern w:val="0"/>
                <w:sz w:val="20"/>
                <w:szCs w:val="20"/>
              </w:rPr>
              <w:lastRenderedPageBreak/>
              <w:t>zagospodarowania przestrzennego</w:t>
            </w:r>
          </w:p>
          <w:p w14:paraId="1857A29B"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w:t>
            </w:r>
          </w:p>
          <w:p w14:paraId="7505CEAD" w14:textId="77777777" w:rsidR="00675A1A" w:rsidRDefault="00675A1A" w:rsidP="00DE6727">
            <w:pPr>
              <w:spacing w:after="0" w:line="240" w:lineRule="auto"/>
              <w:jc w:val="both"/>
              <w:rPr>
                <w:rFonts w:ascii="Times New Roman" w:hAnsi="Times New Roman"/>
                <w:kern w:val="0"/>
              </w:rPr>
            </w:pPr>
            <w:r>
              <w:rPr>
                <w:rFonts w:ascii="Calibri" w:hAnsi="Calibri" w:cs="Calibri"/>
                <w:color w:val="000000"/>
                <w:kern w:val="0"/>
                <w:sz w:val="20"/>
                <w:szCs w:val="20"/>
              </w:rPr>
              <w:t> </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AFCA"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lastRenderedPageBreak/>
              <w:t>Funkcja zabudowy                                   i zagospodarowania terenu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2DCC9" w14:textId="77777777" w:rsidR="00675A1A" w:rsidRDefault="00675A1A" w:rsidP="00DE6727">
            <w:pPr>
              <w:spacing w:after="0" w:line="240" w:lineRule="auto"/>
              <w:rPr>
                <w:rFonts w:ascii="Times New Roman" w:hAnsi="Times New Roman"/>
                <w:kern w:val="0"/>
              </w:rPr>
            </w:pPr>
            <w:r>
              <w:rPr>
                <w:rFonts w:ascii="Times New Roman" w:hAnsi="Times New Roman"/>
                <w:color w:val="000000"/>
                <w:kern w:val="0"/>
                <w:sz w:val="16"/>
                <w:szCs w:val="16"/>
              </w:rPr>
              <w:t>Sposób użytkowania obiektów budowlanych oraz zagospodarowania terenu</w:t>
            </w:r>
          </w:p>
        </w:tc>
      </w:tr>
      <w:tr w:rsidR="00675A1A" w14:paraId="0F26E81A"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16B6264" w14:textId="77777777" w:rsidR="00675A1A" w:rsidRDefault="00675A1A" w:rsidP="00DE6727">
            <w:pPr>
              <w:spacing w:after="0" w:line="240" w:lineRule="auto"/>
              <w:rPr>
                <w:rFonts w:ascii="Times New Roman" w:hAnsi="Times New Roman"/>
                <w:kern w:val="0"/>
              </w:rPr>
            </w:pP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A9BC7"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Cechy zabudowy i zagospodarowania terenu:</w:t>
            </w:r>
          </w:p>
        </w:tc>
      </w:tr>
      <w:tr w:rsidR="00675A1A" w14:paraId="02850940"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2A2F9DF"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8C458"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gabaryty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11FC2" w14:textId="77777777" w:rsidR="00675A1A" w:rsidRPr="006060A6" w:rsidRDefault="00675A1A" w:rsidP="00DE6727">
            <w:pPr>
              <w:spacing w:after="0" w:line="240" w:lineRule="auto"/>
              <w:jc w:val="both"/>
              <w:rPr>
                <w:rFonts w:ascii="Calibri" w:hAnsi="Calibri" w:cs="Calibri"/>
                <w:color w:val="000000"/>
                <w:kern w:val="0"/>
                <w:sz w:val="20"/>
                <w:szCs w:val="20"/>
              </w:rPr>
            </w:pPr>
            <w:r w:rsidRPr="006060A6">
              <w:rPr>
                <w:rFonts w:ascii="Calibri" w:hAnsi="Calibri" w:cs="Calibri"/>
                <w:color w:val="000000"/>
                <w:kern w:val="0"/>
                <w:sz w:val="20"/>
                <w:szCs w:val="20"/>
              </w:rPr>
              <w:t xml:space="preserve">2382 cm x 1214 cm </w:t>
            </w:r>
          </w:p>
          <w:p w14:paraId="3FDC53BB" w14:textId="77777777" w:rsidR="00675A1A" w:rsidRPr="006060A6" w:rsidRDefault="00675A1A" w:rsidP="00DE6727">
            <w:pPr>
              <w:spacing w:after="0" w:line="240" w:lineRule="auto"/>
              <w:jc w:val="both"/>
              <w:rPr>
                <w:rFonts w:ascii="Calibri" w:hAnsi="Calibri" w:cs="Calibri"/>
                <w:color w:val="FF0000"/>
                <w:kern w:val="0"/>
              </w:rPr>
            </w:pPr>
            <w:r w:rsidRPr="006060A6">
              <w:rPr>
                <w:rFonts w:ascii="Calibri" w:hAnsi="Calibri" w:cs="Calibri"/>
                <w:color w:val="000000"/>
                <w:kern w:val="0"/>
                <w:sz w:val="20"/>
                <w:szCs w:val="20"/>
              </w:rPr>
              <w:t>oraz     6306 cm x 1234 cm</w:t>
            </w:r>
            <w:r w:rsidRPr="006060A6">
              <w:rPr>
                <w:rFonts w:ascii="Calibri" w:hAnsi="Calibri" w:cs="Calibri"/>
                <w:color w:val="000000"/>
                <w:kern w:val="0"/>
                <w:sz w:val="22"/>
                <w:szCs w:val="22"/>
              </w:rPr>
              <w:t xml:space="preserve"> </w:t>
            </w:r>
            <w:r w:rsidRPr="006060A6">
              <w:rPr>
                <w:rFonts w:ascii="Calibri" w:hAnsi="Calibri" w:cs="Calibri"/>
                <w:color w:val="FF0000"/>
                <w:kern w:val="0"/>
                <w:sz w:val="22"/>
                <w:szCs w:val="22"/>
              </w:rPr>
              <w:t> </w:t>
            </w:r>
          </w:p>
        </w:tc>
      </w:tr>
      <w:tr w:rsidR="00675A1A" w14:paraId="5E96BBD2"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4C08755"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4B2BB"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forma architektoniczna</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97B2A" w14:textId="77777777" w:rsidR="00675A1A" w:rsidRPr="009939B4" w:rsidRDefault="00675A1A" w:rsidP="00DE6727">
            <w:pPr>
              <w:spacing w:after="144" w:line="240" w:lineRule="auto"/>
              <w:rPr>
                <w:rFonts w:ascii="Calibri" w:hAnsi="Calibri" w:cs="Calibri"/>
                <w:kern w:val="0"/>
              </w:rPr>
            </w:pPr>
            <w:r w:rsidRPr="009939B4">
              <w:rPr>
                <w:rFonts w:ascii="Calibri" w:hAnsi="Calibri" w:cs="Calibri"/>
                <w:color w:val="000000"/>
                <w:kern w:val="0"/>
                <w:sz w:val="20"/>
                <w:szCs w:val="20"/>
              </w:rPr>
              <w:t xml:space="preserve">11 segmentów 2-lokalowych, w </w:t>
            </w:r>
            <w:r w:rsidRPr="009939B4">
              <w:rPr>
                <w:rFonts w:ascii="Calibri" w:hAnsi="Calibri" w:cs="Calibri"/>
                <w:color w:val="000000"/>
                <w:kern w:val="0"/>
                <w:sz w:val="20"/>
                <w:szCs w:val="20"/>
              </w:rPr>
              <w:lastRenderedPageBreak/>
              <w:t>zabudowie jednorodzinnej szeregowej (3 segmenty i 8 segmentów)</w:t>
            </w:r>
          </w:p>
        </w:tc>
      </w:tr>
      <w:tr w:rsidR="00675A1A" w14:paraId="0CDCF28F"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7B03EA8"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84EE"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usytuowanie linii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86664" w14:textId="77777777" w:rsidR="00675A1A" w:rsidRPr="009939B4" w:rsidRDefault="00675A1A" w:rsidP="00DE6727">
            <w:pPr>
              <w:spacing w:after="144" w:line="240" w:lineRule="auto"/>
              <w:jc w:val="both"/>
              <w:rPr>
                <w:rFonts w:ascii="Calibri" w:hAnsi="Calibri" w:cs="Calibri"/>
                <w:color w:val="000000" w:themeColor="text1"/>
                <w:kern w:val="0"/>
              </w:rPr>
            </w:pPr>
            <w:r w:rsidRPr="009939B4">
              <w:rPr>
                <w:rFonts w:ascii="Calibri" w:hAnsi="Calibri" w:cs="Calibri"/>
                <w:color w:val="000000" w:themeColor="text1"/>
                <w:kern w:val="0"/>
                <w:sz w:val="20"/>
                <w:szCs w:val="20"/>
              </w:rPr>
              <w:t> 6 m od granicy działki </w:t>
            </w:r>
          </w:p>
        </w:tc>
      </w:tr>
      <w:tr w:rsidR="00675A1A" w14:paraId="1BF969A7"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1351FE77"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BDCA4"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intensywność wykorzystania terenu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C6F5F" w14:textId="77777777" w:rsidR="00675A1A" w:rsidRPr="009939B4" w:rsidRDefault="00675A1A" w:rsidP="00DE6727">
            <w:pPr>
              <w:spacing w:after="144" w:line="240" w:lineRule="auto"/>
              <w:jc w:val="both"/>
              <w:rPr>
                <w:rFonts w:ascii="Calibri" w:hAnsi="Calibri" w:cs="Calibri"/>
                <w:kern w:val="0"/>
              </w:rPr>
            </w:pPr>
            <w:r w:rsidRPr="009939B4">
              <w:rPr>
                <w:rFonts w:ascii="Calibri" w:hAnsi="Calibri" w:cs="Calibri"/>
                <w:color w:val="000000"/>
                <w:kern w:val="0"/>
                <w:sz w:val="20"/>
                <w:szCs w:val="20"/>
              </w:rPr>
              <w:t> 0.2- 2.0 </w:t>
            </w:r>
          </w:p>
        </w:tc>
      </w:tr>
      <w:tr w:rsidR="00675A1A" w14:paraId="3319E4A7"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A56F2D9"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F5E1B"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warunki ochrony środowiska      i zdrowia ludzi, przyrody                       i krajobrazu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9DB2B"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 Brak</w:t>
            </w:r>
          </w:p>
        </w:tc>
      </w:tr>
      <w:tr w:rsidR="00675A1A" w14:paraId="5E878D37"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0365A0F4"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C72A6"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wymagania dotyczące zabudowy i zagospodarowania terenu położonego na obszarach szczególnego zagrożenia powodzią</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74B7B"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 Brak </w:t>
            </w:r>
          </w:p>
        </w:tc>
      </w:tr>
      <w:tr w:rsidR="00675A1A" w14:paraId="1000CD25"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11416787"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D52C7"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warunki ochrony dziedzictwa kulturowego i zabytków oraz dóbr kultury współczesnej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D60A2"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 Brak</w:t>
            </w:r>
          </w:p>
        </w:tc>
      </w:tr>
      <w:tr w:rsidR="00675A1A" w14:paraId="4ECA4855"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09CAB0F4"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33012"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wymagania dotyczące ochrony innych terenów lub obiektów podlegających ochronie na podstawie przepisów odrębnych</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7FB8D"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 Brak </w:t>
            </w:r>
          </w:p>
        </w:tc>
      </w:tr>
      <w:tr w:rsidR="00675A1A" w14:paraId="0D6D470A"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145C550"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F5F23"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warunki i szczegółowe zasady obsługi w zakresie komunikacji</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E189B8"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 Brak</w:t>
            </w:r>
          </w:p>
        </w:tc>
      </w:tr>
      <w:tr w:rsidR="00675A1A" w14:paraId="5BE70BBB"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344B1364"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3A51E"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warunki i szczegółowe zasady obsługi w zakresie infrastruktury technicznej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235CF"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 xml:space="preserve"> Brak </w:t>
            </w:r>
          </w:p>
        </w:tc>
      </w:tr>
      <w:tr w:rsidR="00675A1A" w14:paraId="17E57FF1"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9B9F45A"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FFE5A"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minimalny udział procentowy powierzchni biologicznie czynnej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DC4D9" w14:textId="77777777" w:rsidR="00675A1A" w:rsidRDefault="00675A1A" w:rsidP="00DE6727">
            <w:pPr>
              <w:spacing w:after="144" w:line="240" w:lineRule="auto"/>
              <w:jc w:val="both"/>
              <w:rPr>
                <w:rFonts w:ascii="Times New Roman" w:hAnsi="Times New Roman"/>
                <w:kern w:val="0"/>
              </w:rPr>
            </w:pPr>
            <w:r>
              <w:rPr>
                <w:rFonts w:ascii="Times New Roman" w:hAnsi="Times New Roman"/>
                <w:color w:val="000000"/>
                <w:kern w:val="0"/>
                <w:sz w:val="20"/>
                <w:szCs w:val="20"/>
              </w:rPr>
              <w:t>40%</w:t>
            </w:r>
          </w:p>
        </w:tc>
      </w:tr>
      <w:tr w:rsidR="00675A1A" w14:paraId="5331EEDF"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A6A027D"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E4942"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nadziemna intensywność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2644" w14:textId="77777777" w:rsidR="00675A1A" w:rsidRDefault="00675A1A" w:rsidP="00DE6727">
            <w:pPr>
              <w:spacing w:after="144" w:line="240" w:lineRule="auto"/>
              <w:jc w:val="both"/>
              <w:rPr>
                <w:rFonts w:ascii="Times New Roman" w:hAnsi="Times New Roman"/>
                <w:color w:val="FF0000"/>
                <w:kern w:val="0"/>
              </w:rPr>
            </w:pPr>
            <w:r w:rsidRPr="00244B1E">
              <w:rPr>
                <w:rFonts w:ascii="Times New Roman" w:hAnsi="Times New Roman"/>
                <w:color w:val="000000" w:themeColor="text1"/>
                <w:kern w:val="0"/>
                <w:sz w:val="20"/>
                <w:szCs w:val="20"/>
              </w:rPr>
              <w:t>0.49</w:t>
            </w:r>
          </w:p>
        </w:tc>
      </w:tr>
      <w:tr w:rsidR="00675A1A" w14:paraId="3040B924" w14:textId="77777777" w:rsidTr="00DE6727">
        <w:trPr>
          <w:trHeight w:val="1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3DA5B7A1"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2746E" w14:textId="77777777" w:rsidR="00675A1A" w:rsidRPr="00C82EE0" w:rsidRDefault="00675A1A" w:rsidP="00DE6727">
            <w:pPr>
              <w:spacing w:after="144" w:line="240" w:lineRule="auto"/>
              <w:rPr>
                <w:rFonts w:ascii="Calibri" w:hAnsi="Calibri" w:cs="Calibri"/>
                <w:kern w:val="0"/>
              </w:rPr>
            </w:pPr>
            <w:r w:rsidRPr="00C82EE0">
              <w:rPr>
                <w:rFonts w:ascii="Calibri" w:hAnsi="Calibri" w:cs="Calibri"/>
                <w:color w:val="000000"/>
                <w:kern w:val="0"/>
                <w:sz w:val="16"/>
                <w:szCs w:val="16"/>
              </w:rPr>
              <w:t>wysokość zabudowy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96ABD" w14:textId="77777777" w:rsidR="00675A1A" w:rsidRDefault="00675A1A" w:rsidP="00DE6727">
            <w:pPr>
              <w:spacing w:after="144" w:line="240" w:lineRule="auto"/>
              <w:jc w:val="both"/>
              <w:rPr>
                <w:rFonts w:ascii="Times New Roman" w:hAnsi="Times New Roman"/>
                <w:color w:val="FF0000"/>
                <w:kern w:val="0"/>
              </w:rPr>
            </w:pPr>
            <w:r w:rsidRPr="00244B1E">
              <w:rPr>
                <w:rFonts w:ascii="Times New Roman" w:hAnsi="Times New Roman"/>
                <w:color w:val="000000" w:themeColor="text1"/>
                <w:kern w:val="0"/>
                <w:sz w:val="20"/>
                <w:szCs w:val="20"/>
              </w:rPr>
              <w:t> 989 cm </w:t>
            </w:r>
          </w:p>
        </w:tc>
      </w:tr>
      <w:tr w:rsidR="00675A1A" w14:paraId="5DF1888C" w14:textId="77777777" w:rsidTr="00DE6727">
        <w:trPr>
          <w:trHeight w:val="83"/>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3E0B63C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Informacje dotyczące przewidzianych inwestycji w promieniu 1 km od terenu objętego przedsięwzięciem deweloperskim lub zadaniem inwestycyjnym</w:t>
            </w:r>
            <w:r>
              <w:rPr>
                <w:rFonts w:ascii="Calibri" w:hAnsi="Calibri" w:cs="Calibri"/>
                <w:color w:val="000000"/>
                <w:kern w:val="0"/>
                <w:sz w:val="12"/>
                <w:szCs w:val="12"/>
                <w:vertAlign w:val="superscript"/>
              </w:rPr>
              <w:t>)</w:t>
            </w:r>
            <w:r>
              <w:rPr>
                <w:rFonts w:ascii="Calibri" w:hAnsi="Calibri" w:cs="Calibri"/>
                <w:color w:val="000000"/>
                <w:kern w:val="0"/>
                <w:sz w:val="20"/>
                <w:szCs w:val="20"/>
              </w:rPr>
              <w:t>, zawarte w:</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0CBD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miejscowych planach zagospodarowania przestrzennego</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9920E4" w14:textId="77777777" w:rsidR="00675A1A" w:rsidRPr="00C810E6" w:rsidRDefault="00675A1A" w:rsidP="00DE6727">
            <w:pPr>
              <w:spacing w:after="0" w:line="240" w:lineRule="auto"/>
              <w:ind w:right="79" w:hanging="201"/>
              <w:rPr>
                <w:rFonts w:ascii="Times New Roman" w:hAnsi="Times New Roman"/>
                <w:kern w:val="0"/>
              </w:rPr>
            </w:pPr>
            <w:r>
              <w:rPr>
                <w:rFonts w:ascii="Calibri" w:hAnsi="Calibri" w:cs="Calibri"/>
                <w:color w:val="000000"/>
                <w:kern w:val="0"/>
                <w:sz w:val="20"/>
                <w:szCs w:val="20"/>
                <w:u w:val="single"/>
              </w:rPr>
              <w:t xml:space="preserve">   W promieniu 1 km</w:t>
            </w:r>
            <w:r>
              <w:rPr>
                <w:rFonts w:ascii="Calibri" w:hAnsi="Calibri" w:cs="Calibri"/>
                <w:color w:val="000000"/>
                <w:kern w:val="0"/>
                <w:sz w:val="20"/>
                <w:szCs w:val="20"/>
              </w:rPr>
              <w:t xml:space="preserve"> od terenu objętego przedsięwzięciem deweloperskim Gmina Miasto Oława przewiduje realizację następujących inwestycji:</w:t>
            </w:r>
          </w:p>
          <w:p w14:paraId="488FBB98" w14:textId="77777777" w:rsidR="00675A1A" w:rsidRDefault="00675A1A" w:rsidP="00DE6727">
            <w:pPr>
              <w:spacing w:after="8" w:line="240" w:lineRule="auto"/>
              <w:ind w:right="79"/>
              <w:textAlignment w:val="baseline"/>
              <w:rPr>
                <w:rFonts w:ascii="Times New Roman" w:hAnsi="Times New Roman"/>
                <w:color w:val="000000"/>
                <w:kern w:val="0"/>
                <w:sz w:val="20"/>
                <w:szCs w:val="20"/>
              </w:rPr>
            </w:pPr>
            <w:r>
              <w:rPr>
                <w:rFonts w:ascii="Calibri" w:hAnsi="Calibri" w:cs="Calibri"/>
                <w:color w:val="000000"/>
                <w:kern w:val="0"/>
                <w:sz w:val="20"/>
                <w:szCs w:val="20"/>
              </w:rPr>
              <w:t>- budowa ścieżki pieszo - rowerowej, wzdłuż ul Południowej,</w:t>
            </w:r>
          </w:p>
          <w:p w14:paraId="4D1C9E4B" w14:textId="77777777" w:rsidR="00675A1A" w:rsidRDefault="00675A1A" w:rsidP="00DE6727">
            <w:pPr>
              <w:spacing w:after="0" w:line="240" w:lineRule="auto"/>
              <w:rPr>
                <w:rFonts w:ascii="Times New Roman" w:hAnsi="Times New Roman"/>
                <w:kern w:val="0"/>
              </w:rPr>
            </w:pPr>
          </w:p>
        </w:tc>
      </w:tr>
      <w:tr w:rsidR="00675A1A" w14:paraId="2FAFFF1E"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161052E1"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84A6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decyzjach o warunkach zabudowy i zagospodarowania terenu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BCC0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wydano decyzji o warunkach zabudowy i zagospodarowania</w:t>
            </w:r>
          </w:p>
        </w:tc>
      </w:tr>
      <w:tr w:rsidR="00675A1A" w14:paraId="7AA05653"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0DDAE710"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DEF70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decyzjach o środowiskowych uwarunkowaniach</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B7937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wydano decyzji o środowiskowych uwarunkowaniach.</w:t>
            </w:r>
          </w:p>
        </w:tc>
      </w:tr>
      <w:tr w:rsidR="00675A1A" w14:paraId="05A39471"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41CAD28"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BC3C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uchwałach o obszarach ograniczonego użytkowania</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37B72"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podjęto uchwały o obszarach ograniczonych użytkowania.</w:t>
            </w:r>
          </w:p>
        </w:tc>
      </w:tr>
      <w:tr w:rsidR="00675A1A" w14:paraId="2BEC333E"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F826639"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89B3B"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miejscowych planach odbudowy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8107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podjęto uchwały o miejscowym planie odbudowy.</w:t>
            </w:r>
          </w:p>
        </w:tc>
      </w:tr>
      <w:tr w:rsidR="00675A1A" w14:paraId="739D4A5E"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1F76AA17"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802A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mapach zagrożenia powodziowego </w:t>
            </w:r>
            <w:r>
              <w:rPr>
                <w:rFonts w:ascii="Calibri" w:hAnsi="Calibri" w:cs="Calibri"/>
                <w:color w:val="000000"/>
                <w:kern w:val="0"/>
                <w:sz w:val="20"/>
                <w:szCs w:val="20"/>
              </w:rPr>
              <w:br/>
              <w:t>i mapach ryzyka powodziowego</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AB9C0"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Na podstawie map zagrożenia powodziowego dla miasta Oława - zgodnie z art 169 ust. 1, 2, w związku z art. 555 ust. 2 pkt 5 Prawa wodnego (</w:t>
            </w:r>
            <w:proofErr w:type="spellStart"/>
            <w:r>
              <w:rPr>
                <w:rFonts w:ascii="Calibri" w:hAnsi="Calibri" w:cs="Calibri"/>
                <w:color w:val="000000"/>
                <w:kern w:val="0"/>
                <w:sz w:val="20"/>
                <w:szCs w:val="20"/>
              </w:rPr>
              <w:t>t.j</w:t>
            </w:r>
            <w:proofErr w:type="spellEnd"/>
            <w:r>
              <w:rPr>
                <w:rFonts w:ascii="Calibri" w:hAnsi="Calibri" w:cs="Calibri"/>
                <w:color w:val="000000"/>
                <w:kern w:val="0"/>
                <w:sz w:val="20"/>
                <w:szCs w:val="20"/>
              </w:rPr>
              <w:t xml:space="preserve">.: Dz. U. 2022 r. poz. 2625 ze zm.) ustalono, </w:t>
            </w:r>
            <w:r>
              <w:rPr>
                <w:rFonts w:ascii="Calibri" w:hAnsi="Calibri" w:cs="Calibri"/>
                <w:color w:val="000000"/>
                <w:kern w:val="0"/>
                <w:sz w:val="20"/>
                <w:szCs w:val="20"/>
                <w:u w:val="single"/>
              </w:rPr>
              <w:t>że teren w promieniu 1 km od terenu objętego przedsięwzięciem deweloperskim</w:t>
            </w:r>
            <w:r>
              <w:rPr>
                <w:rFonts w:ascii="Calibri" w:hAnsi="Calibri" w:cs="Calibri"/>
                <w:color w:val="000000"/>
                <w:kern w:val="0"/>
                <w:sz w:val="20"/>
                <w:szCs w:val="20"/>
              </w:rPr>
              <w:t>:</w:t>
            </w:r>
          </w:p>
          <w:p w14:paraId="0AF4E8F9"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lastRenderedPageBreak/>
              <w:t>- położony jest poza obszarem, na którym prawdopodobieństwo wystąpienia powodzi jest niskie i wynosi 0,2%;</w:t>
            </w:r>
          </w:p>
          <w:p w14:paraId="709A536C"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 położony jest poza obszarem, na których prawdopodobieństwo wystąpienia powodzi jest średnie i wynosi 1%;</w:t>
            </w:r>
          </w:p>
          <w:p w14:paraId="6B7F5490" w14:textId="77777777" w:rsidR="00675A1A" w:rsidRDefault="00675A1A" w:rsidP="00DE6727">
            <w:pPr>
              <w:spacing w:after="0" w:line="240" w:lineRule="auto"/>
              <w:ind w:right="79" w:hanging="13"/>
              <w:rPr>
                <w:rFonts w:ascii="Times New Roman" w:hAnsi="Times New Roman"/>
                <w:kern w:val="0"/>
              </w:rPr>
            </w:pPr>
            <w:r>
              <w:rPr>
                <w:rFonts w:ascii="Calibri" w:hAnsi="Calibri" w:cs="Calibri"/>
                <w:color w:val="000000"/>
                <w:kern w:val="0"/>
                <w:sz w:val="20"/>
                <w:szCs w:val="20"/>
              </w:rPr>
              <w:t>-   położony jest poza obszarami, na których prawdopodobieństwo wystąpienia powodzi jest wysokie i wynosi 10%;</w:t>
            </w:r>
          </w:p>
          <w:p w14:paraId="0EDBFBBF" w14:textId="77777777" w:rsidR="00675A1A" w:rsidRDefault="00675A1A" w:rsidP="00DE6727">
            <w:pPr>
              <w:spacing w:after="8" w:line="240" w:lineRule="auto"/>
              <w:ind w:right="79"/>
              <w:rPr>
                <w:rFonts w:ascii="Times New Roman" w:hAnsi="Times New Roman"/>
                <w:kern w:val="0"/>
              </w:rPr>
            </w:pPr>
            <w:r>
              <w:rPr>
                <w:rFonts w:ascii="Calibri" w:hAnsi="Calibri" w:cs="Calibri"/>
                <w:color w:val="000000"/>
                <w:kern w:val="0"/>
                <w:sz w:val="20"/>
                <w:szCs w:val="20"/>
              </w:rPr>
              <w:t>-położony jest poza obszarem obejmującym tereny narażone na zalanie w przypadku uszkodzenia lub zniszczenia wału przeciwpowodziowego.</w:t>
            </w:r>
          </w:p>
          <w:p w14:paraId="2855835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W związku z tym nie zachodzą tu okoliczności ograniczenia planowanej zabudowy, o których mowa w art. 166 ustawy z dnia 20 lipca </w:t>
            </w:r>
            <w:proofErr w:type="gramStart"/>
            <w:r>
              <w:rPr>
                <w:rFonts w:ascii="Calibri" w:hAnsi="Calibri" w:cs="Calibri"/>
                <w:color w:val="000000"/>
                <w:kern w:val="0"/>
                <w:sz w:val="20"/>
                <w:szCs w:val="20"/>
              </w:rPr>
              <w:t>2017r.</w:t>
            </w:r>
            <w:proofErr w:type="gramEnd"/>
            <w:r>
              <w:rPr>
                <w:rFonts w:ascii="Calibri" w:hAnsi="Calibri" w:cs="Calibri"/>
                <w:color w:val="000000"/>
                <w:kern w:val="0"/>
                <w:sz w:val="20"/>
                <w:szCs w:val="20"/>
              </w:rPr>
              <w:t xml:space="preserve"> Prawo wodne.</w:t>
            </w:r>
          </w:p>
        </w:tc>
      </w:tr>
      <w:tr w:rsidR="00675A1A" w14:paraId="5C16F273"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43AF234" w14:textId="77777777" w:rsidR="00675A1A" w:rsidRDefault="00675A1A" w:rsidP="00DE6727">
            <w:pPr>
              <w:spacing w:after="0" w:line="240" w:lineRule="auto"/>
              <w:rPr>
                <w:rFonts w:ascii="Times New Roman" w:hAnsi="Times New Roman"/>
                <w:kern w:val="0"/>
              </w:rPr>
            </w:pP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AB10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Ustalenia decyzji w zakresie rozmieszczenia inwestycji celu publicznego, mogące mieć znaczenie dla terenu objętego przedsięwzięciem deweloperskim:</w:t>
            </w:r>
          </w:p>
        </w:tc>
      </w:tr>
      <w:tr w:rsidR="00675A1A" w14:paraId="1084D685"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75FFE7D"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3040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zezwoleniu na realizację inwestycji drogowej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ADB1A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442D086E"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53265C0B"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A606E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ustaleniu lokalizacji linii kolejowej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2F3B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3BB1D6ED"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0EA92B72"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F472D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decyzja o zezwoleniu na realizację </w:t>
            </w:r>
            <w:proofErr w:type="gramStart"/>
            <w:r>
              <w:rPr>
                <w:rFonts w:ascii="Calibri" w:hAnsi="Calibri" w:cs="Calibri"/>
                <w:color w:val="000000"/>
                <w:kern w:val="0"/>
                <w:sz w:val="20"/>
                <w:szCs w:val="20"/>
              </w:rPr>
              <w:t>inwestycji  w</w:t>
            </w:r>
            <w:proofErr w:type="gramEnd"/>
            <w:r>
              <w:rPr>
                <w:rFonts w:ascii="Calibri" w:hAnsi="Calibri" w:cs="Calibri"/>
                <w:color w:val="000000"/>
                <w:kern w:val="0"/>
                <w:sz w:val="20"/>
                <w:szCs w:val="20"/>
              </w:rPr>
              <w:t xml:space="preserve"> zakresie lotniska użytku publicznego</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6149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2D640410"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308F20A9"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E4AFB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decyzja o pozwoleniu na realizację </w:t>
            </w:r>
            <w:proofErr w:type="gramStart"/>
            <w:r>
              <w:rPr>
                <w:rFonts w:ascii="Calibri" w:hAnsi="Calibri" w:cs="Calibri"/>
                <w:color w:val="000000"/>
                <w:kern w:val="0"/>
                <w:sz w:val="20"/>
                <w:szCs w:val="20"/>
              </w:rPr>
              <w:t>inwestycji  w</w:t>
            </w:r>
            <w:proofErr w:type="gramEnd"/>
            <w:r>
              <w:rPr>
                <w:rFonts w:ascii="Calibri" w:hAnsi="Calibri" w:cs="Calibri"/>
                <w:color w:val="000000"/>
                <w:kern w:val="0"/>
                <w:sz w:val="20"/>
                <w:szCs w:val="20"/>
              </w:rPr>
              <w:t xml:space="preserve"> zakresie budowli przeciwpowodziowych</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5BB6C"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602AF61E"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0FCADE1"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7894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ustaleniu lokalizacji inwestycji w zakresie budowy obiektu energetyki jądrowej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4B0C7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615072AC"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B30CD83"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91B0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ustaleniu lokalizacji strategicznej inwestycji w zakresie sieci przesyłowej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E4F2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0AD5FCC1"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64C1E1A"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2BC1A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ustaleniu lokalizacji regionalnej sieci szerokopasmowej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2222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1206F6EB"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4E4E3AE0"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35772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ustaleniu lokalizacji inwestycji w zakresie Centralnego Portu Komunikacyjnego</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8A32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30CB262F"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303B4540"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C84B6" w14:textId="77777777" w:rsidR="00675A1A" w:rsidRPr="00C82EE0" w:rsidRDefault="00675A1A" w:rsidP="00DE6727">
            <w:pPr>
              <w:spacing w:after="0" w:line="240" w:lineRule="auto"/>
              <w:rPr>
                <w:rFonts w:ascii="Calibri" w:hAnsi="Calibri" w:cs="Calibri"/>
                <w:color w:val="000000"/>
                <w:kern w:val="0"/>
                <w:sz w:val="20"/>
                <w:szCs w:val="20"/>
              </w:rPr>
            </w:pPr>
            <w:r>
              <w:rPr>
                <w:rFonts w:ascii="Calibri" w:hAnsi="Calibri" w:cs="Calibri"/>
                <w:color w:val="000000"/>
                <w:kern w:val="0"/>
                <w:sz w:val="20"/>
                <w:szCs w:val="20"/>
              </w:rPr>
              <w:t>decyzja o zezwoleniu na realizację inwestycji w zakresie infrastruktury dostępowej</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C1980"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3B7B6923" w14:textId="77777777" w:rsidTr="00DE6727">
        <w:trPr>
          <w:trHeight w:val="81"/>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7C849503"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5A04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decyzja o ustaleniu lokalizacji strategicznej inwestycji w sektorze naftowym</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2BE4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Nie została wydana.</w:t>
            </w:r>
          </w:p>
        </w:tc>
      </w:tr>
      <w:tr w:rsidR="00675A1A" w14:paraId="488F782C" w14:textId="77777777" w:rsidTr="00DE6727">
        <w:trPr>
          <w:trHeight w:val="8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1B2DF"/>
            <w:tcMar>
              <w:top w:w="0" w:type="dxa"/>
              <w:left w:w="108" w:type="dxa"/>
              <w:bottom w:w="0" w:type="dxa"/>
              <w:right w:w="108" w:type="dxa"/>
            </w:tcMar>
            <w:vAlign w:val="center"/>
            <w:hideMark/>
          </w:tcPr>
          <w:p w14:paraId="087D4367"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t>INFORMACJE DOTYCZĄCE BUDYNKU</w:t>
            </w:r>
          </w:p>
        </w:tc>
      </w:tr>
      <w:tr w:rsidR="00675A1A" w14:paraId="262E9C2B"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4301FAD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Czy jest pozwolenie na budowę</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0CF31" w14:textId="77777777" w:rsidR="00675A1A" w:rsidRDefault="00675A1A" w:rsidP="00DE6727">
            <w:pPr>
              <w:spacing w:after="0" w:line="240" w:lineRule="auto"/>
              <w:jc w:val="center"/>
              <w:rPr>
                <w:rFonts w:ascii="Times New Roman" w:hAnsi="Times New Roman"/>
                <w:kern w:val="0"/>
              </w:rPr>
            </w:pPr>
            <w:r>
              <w:rPr>
                <w:rFonts w:ascii="Calibri" w:hAnsi="Calibri" w:cs="Calibri"/>
                <w:color w:val="000000"/>
                <w:kern w:val="0"/>
                <w:sz w:val="20"/>
                <w:szCs w:val="20"/>
              </w:rPr>
              <w:t>tak*</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95069" w14:textId="77777777" w:rsidR="00675A1A" w:rsidRDefault="00675A1A" w:rsidP="00DE6727">
            <w:pPr>
              <w:spacing w:after="0" w:line="240" w:lineRule="auto"/>
              <w:jc w:val="center"/>
              <w:rPr>
                <w:rFonts w:ascii="Times New Roman" w:hAnsi="Times New Roman"/>
                <w:kern w:val="0"/>
              </w:rPr>
            </w:pPr>
            <w:r>
              <w:rPr>
                <w:rFonts w:ascii="Calibri" w:hAnsi="Calibri" w:cs="Calibri"/>
                <w:strike/>
                <w:color w:val="000000"/>
                <w:kern w:val="0"/>
                <w:sz w:val="20"/>
                <w:szCs w:val="20"/>
              </w:rPr>
              <w:t>nie</w:t>
            </w:r>
            <w:r>
              <w:rPr>
                <w:rFonts w:ascii="Calibri" w:hAnsi="Calibri" w:cs="Calibri"/>
                <w:color w:val="000000"/>
                <w:kern w:val="0"/>
                <w:sz w:val="20"/>
                <w:szCs w:val="20"/>
              </w:rPr>
              <w:t>*</w:t>
            </w:r>
          </w:p>
        </w:tc>
      </w:tr>
      <w:tr w:rsidR="00675A1A" w14:paraId="0A640019"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6529F729"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lastRenderedPageBreak/>
              <w:t>Czy pozwolenie na budowę jest ostateczne</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BBC0F" w14:textId="77777777" w:rsidR="00675A1A" w:rsidRDefault="00675A1A" w:rsidP="00DE6727">
            <w:pPr>
              <w:spacing w:after="0" w:line="240" w:lineRule="auto"/>
              <w:jc w:val="center"/>
              <w:rPr>
                <w:rFonts w:ascii="Times New Roman" w:hAnsi="Times New Roman"/>
                <w:kern w:val="0"/>
              </w:rPr>
            </w:pPr>
            <w:r>
              <w:rPr>
                <w:rFonts w:ascii="Calibri" w:hAnsi="Calibri" w:cs="Calibri"/>
                <w:color w:val="000000"/>
                <w:kern w:val="0"/>
                <w:sz w:val="20"/>
                <w:szCs w:val="20"/>
              </w:rPr>
              <w:t>tak*</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6A4EF5" w14:textId="77777777" w:rsidR="00675A1A" w:rsidRDefault="00675A1A" w:rsidP="00DE6727">
            <w:pPr>
              <w:spacing w:after="0" w:line="240" w:lineRule="auto"/>
              <w:jc w:val="center"/>
              <w:rPr>
                <w:rFonts w:ascii="Times New Roman" w:hAnsi="Times New Roman"/>
                <w:kern w:val="0"/>
              </w:rPr>
            </w:pPr>
            <w:r>
              <w:rPr>
                <w:rFonts w:ascii="Calibri" w:hAnsi="Calibri" w:cs="Calibri"/>
                <w:strike/>
                <w:color w:val="000000"/>
                <w:kern w:val="0"/>
                <w:sz w:val="20"/>
                <w:szCs w:val="20"/>
              </w:rPr>
              <w:t>nie</w:t>
            </w:r>
            <w:r>
              <w:rPr>
                <w:rFonts w:ascii="Calibri" w:hAnsi="Calibri" w:cs="Calibri"/>
                <w:color w:val="000000"/>
                <w:kern w:val="0"/>
                <w:sz w:val="20"/>
                <w:szCs w:val="20"/>
              </w:rPr>
              <w:t>*</w:t>
            </w:r>
          </w:p>
        </w:tc>
      </w:tr>
      <w:tr w:rsidR="00675A1A" w14:paraId="0E803065"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hideMark/>
          </w:tcPr>
          <w:p w14:paraId="3964728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Czy pozwolenie na budowę jest zaskarżone</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BA99F" w14:textId="77777777" w:rsidR="00675A1A" w:rsidRDefault="00675A1A" w:rsidP="00DE6727">
            <w:pPr>
              <w:spacing w:after="0" w:line="240" w:lineRule="auto"/>
              <w:jc w:val="center"/>
              <w:rPr>
                <w:rFonts w:ascii="Times New Roman" w:hAnsi="Times New Roman"/>
                <w:kern w:val="0"/>
              </w:rPr>
            </w:pPr>
            <w:r>
              <w:rPr>
                <w:rFonts w:ascii="Calibri" w:hAnsi="Calibri" w:cs="Calibri"/>
                <w:strike/>
                <w:color w:val="000000"/>
                <w:kern w:val="0"/>
                <w:sz w:val="20"/>
                <w:szCs w:val="20"/>
              </w:rPr>
              <w:t>tak</w:t>
            </w:r>
            <w:r>
              <w:rPr>
                <w:rFonts w:ascii="Calibri" w:hAnsi="Calibri" w:cs="Calibri"/>
                <w:color w:val="000000"/>
                <w:kern w:val="0"/>
                <w:sz w:val="20"/>
                <w:szCs w:val="20"/>
              </w:rPr>
              <w:t>*</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F71227" w14:textId="77777777" w:rsidR="00675A1A" w:rsidRDefault="00675A1A" w:rsidP="00DE6727">
            <w:pPr>
              <w:spacing w:after="0" w:line="240" w:lineRule="auto"/>
              <w:jc w:val="center"/>
              <w:rPr>
                <w:rFonts w:ascii="Times New Roman" w:hAnsi="Times New Roman"/>
                <w:kern w:val="0"/>
              </w:rPr>
            </w:pPr>
            <w:r>
              <w:rPr>
                <w:rFonts w:ascii="Calibri" w:hAnsi="Calibri" w:cs="Calibri"/>
                <w:color w:val="000000"/>
                <w:kern w:val="0"/>
                <w:sz w:val="20"/>
                <w:szCs w:val="20"/>
              </w:rPr>
              <w:t>nie*</w:t>
            </w:r>
          </w:p>
        </w:tc>
      </w:tr>
      <w:tr w:rsidR="00675A1A" w14:paraId="6B99583A"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6CD5E7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Numer pozwolenia na budowę oraz nazwa organu, który je wydał</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D0764" w14:textId="77777777" w:rsidR="00675A1A" w:rsidRPr="00244B1E" w:rsidRDefault="00675A1A" w:rsidP="00DE6727">
            <w:pPr>
              <w:spacing w:after="0" w:line="276" w:lineRule="auto"/>
              <w:rPr>
                <w:rFonts w:ascii="Times New Roman" w:hAnsi="Times New Roman"/>
                <w:color w:val="000000" w:themeColor="text1"/>
                <w:kern w:val="0"/>
              </w:rPr>
            </w:pPr>
            <w:r>
              <w:rPr>
                <w:rFonts w:ascii="Calibri" w:hAnsi="Calibri" w:cs="Calibri"/>
                <w:color w:val="000000" w:themeColor="text1"/>
                <w:kern w:val="0"/>
                <w:sz w:val="20"/>
                <w:szCs w:val="20"/>
              </w:rPr>
              <w:t>P</w:t>
            </w:r>
            <w:r w:rsidRPr="00244B1E">
              <w:rPr>
                <w:rFonts w:ascii="Calibri" w:hAnsi="Calibri" w:cs="Calibri"/>
                <w:color w:val="000000" w:themeColor="text1"/>
                <w:kern w:val="0"/>
                <w:sz w:val="20"/>
                <w:szCs w:val="20"/>
              </w:rPr>
              <w:t>rzedsięwzięcie deweloperskie objęte jest następującymi decyzjami:</w:t>
            </w:r>
          </w:p>
          <w:p w14:paraId="5C016836" w14:textId="77777777" w:rsidR="00675A1A" w:rsidRPr="00244B1E" w:rsidRDefault="00675A1A" w:rsidP="00DE6727">
            <w:pPr>
              <w:numPr>
                <w:ilvl w:val="0"/>
                <w:numId w:val="2"/>
              </w:numPr>
              <w:spacing w:after="0" w:line="276" w:lineRule="auto"/>
              <w:ind w:left="0"/>
              <w:textAlignment w:val="baseline"/>
              <w:rPr>
                <w:rFonts w:ascii="Calibri" w:hAnsi="Calibri" w:cs="Calibri"/>
                <w:color w:val="000000" w:themeColor="text1"/>
                <w:kern w:val="0"/>
                <w:sz w:val="20"/>
                <w:szCs w:val="20"/>
              </w:rPr>
            </w:pPr>
            <w:r w:rsidRPr="00244B1E">
              <w:rPr>
                <w:rFonts w:ascii="Calibri" w:hAnsi="Calibri" w:cs="Calibri"/>
                <w:color w:val="000000" w:themeColor="text1"/>
                <w:kern w:val="0"/>
                <w:sz w:val="20"/>
                <w:szCs w:val="20"/>
              </w:rPr>
              <w:t xml:space="preserve">1) decyzja nr 667/2022 </w:t>
            </w:r>
            <w:r>
              <w:rPr>
                <w:rFonts w:ascii="Calibri" w:hAnsi="Calibri" w:cs="Calibri"/>
                <w:color w:val="000000" w:themeColor="text1"/>
                <w:kern w:val="0"/>
                <w:sz w:val="20"/>
                <w:szCs w:val="20"/>
              </w:rPr>
              <w:t>wydana przez Starostę Oławskiego</w:t>
            </w:r>
          </w:p>
          <w:p w14:paraId="3D07B436" w14:textId="77777777" w:rsidR="00675A1A" w:rsidRPr="00244B1E" w:rsidRDefault="00675A1A" w:rsidP="00DE6727">
            <w:pPr>
              <w:numPr>
                <w:ilvl w:val="0"/>
                <w:numId w:val="2"/>
              </w:numPr>
              <w:spacing w:after="0" w:line="276" w:lineRule="auto"/>
              <w:ind w:left="0"/>
              <w:textAlignment w:val="baseline"/>
              <w:rPr>
                <w:rFonts w:ascii="Calibri" w:hAnsi="Calibri" w:cs="Calibri"/>
                <w:color w:val="000000" w:themeColor="text1"/>
                <w:kern w:val="0"/>
                <w:sz w:val="20"/>
                <w:szCs w:val="20"/>
              </w:rPr>
            </w:pPr>
            <w:r w:rsidRPr="00244B1E">
              <w:rPr>
                <w:rFonts w:ascii="Calibri" w:hAnsi="Calibri" w:cs="Calibri"/>
                <w:color w:val="000000" w:themeColor="text1"/>
                <w:kern w:val="0"/>
                <w:sz w:val="20"/>
                <w:szCs w:val="20"/>
              </w:rPr>
              <w:t>2) decyzja nr 444/</w:t>
            </w:r>
            <w:proofErr w:type="gramStart"/>
            <w:r w:rsidRPr="00244B1E">
              <w:rPr>
                <w:rFonts w:ascii="Calibri" w:hAnsi="Calibri" w:cs="Calibri"/>
                <w:color w:val="000000" w:themeColor="text1"/>
                <w:kern w:val="0"/>
                <w:sz w:val="20"/>
                <w:szCs w:val="20"/>
              </w:rPr>
              <w:t xml:space="preserve">2024 </w:t>
            </w:r>
            <w:r>
              <w:rPr>
                <w:rFonts w:ascii="Calibri" w:hAnsi="Calibri" w:cs="Calibri"/>
                <w:color w:val="000000" w:themeColor="text1"/>
                <w:kern w:val="0"/>
                <w:sz w:val="20"/>
                <w:szCs w:val="20"/>
              </w:rPr>
              <w:t xml:space="preserve"> </w:t>
            </w:r>
            <w:r w:rsidRPr="00244B1E">
              <w:rPr>
                <w:rFonts w:ascii="Calibri" w:hAnsi="Calibri" w:cs="Calibri"/>
                <w:color w:val="000000" w:themeColor="text1"/>
                <w:kern w:val="0"/>
                <w:sz w:val="20"/>
                <w:szCs w:val="20"/>
              </w:rPr>
              <w:t>wydana</w:t>
            </w:r>
            <w:proofErr w:type="gramEnd"/>
            <w:r w:rsidRPr="00244B1E">
              <w:rPr>
                <w:rFonts w:ascii="Calibri" w:hAnsi="Calibri" w:cs="Calibri"/>
                <w:color w:val="000000" w:themeColor="text1"/>
                <w:kern w:val="0"/>
                <w:sz w:val="20"/>
                <w:szCs w:val="20"/>
              </w:rPr>
              <w:t xml:space="preserve"> przez </w:t>
            </w:r>
            <w:r>
              <w:rPr>
                <w:rFonts w:ascii="Calibri" w:hAnsi="Calibri" w:cs="Calibri"/>
                <w:color w:val="000000" w:themeColor="text1"/>
                <w:kern w:val="0"/>
                <w:sz w:val="20"/>
                <w:szCs w:val="20"/>
              </w:rPr>
              <w:t>S</w:t>
            </w:r>
            <w:r w:rsidRPr="00244B1E">
              <w:rPr>
                <w:rFonts w:ascii="Calibri" w:hAnsi="Calibri" w:cs="Calibri"/>
                <w:color w:val="000000" w:themeColor="text1"/>
                <w:kern w:val="0"/>
                <w:sz w:val="20"/>
                <w:szCs w:val="20"/>
              </w:rPr>
              <w:t xml:space="preserve">tarostę </w:t>
            </w:r>
            <w:r>
              <w:rPr>
                <w:rFonts w:ascii="Calibri" w:hAnsi="Calibri" w:cs="Calibri"/>
                <w:color w:val="000000" w:themeColor="text1"/>
                <w:kern w:val="0"/>
                <w:sz w:val="20"/>
                <w:szCs w:val="20"/>
              </w:rPr>
              <w:t>O</w:t>
            </w:r>
            <w:r w:rsidRPr="00244B1E">
              <w:rPr>
                <w:rFonts w:ascii="Calibri" w:hAnsi="Calibri" w:cs="Calibri"/>
                <w:color w:val="000000" w:themeColor="text1"/>
                <w:kern w:val="0"/>
                <w:sz w:val="20"/>
                <w:szCs w:val="20"/>
              </w:rPr>
              <w:t xml:space="preserve">ławskiego </w:t>
            </w:r>
          </w:p>
        </w:tc>
      </w:tr>
      <w:tr w:rsidR="00675A1A" w14:paraId="2068C656"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4DA9663"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Data uprawomocnienia się decyzji o pozwoleniu na użytkowanie budynku</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C854C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Budynek w trakcie budowy.</w:t>
            </w:r>
          </w:p>
        </w:tc>
      </w:tr>
      <w:tr w:rsidR="00675A1A" w14:paraId="3AAA9A38"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E8D90A1"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Numer zgłoszenia budowy, o której mowa w art. 29 ust. 1 pkt 1 ustawy z dnia 7 lipca 1994 r. – Prawo budowlane (Dz. U. z 2020 r. poz. 1333, 2127 i 2320 oraz z 2021 r. poz. 11, 234, 282 i 784), oraz oznaczenie organu, do którego dokonano zgłoszenia, wraz z informacją o braku wniesienia sprzeciwu przez ten organ</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F26F74" w14:textId="77777777" w:rsidR="00675A1A" w:rsidRPr="00F4604F" w:rsidRDefault="00675A1A" w:rsidP="00DE6727">
            <w:pPr>
              <w:spacing w:after="0" w:line="240" w:lineRule="auto"/>
              <w:rPr>
                <w:rFonts w:ascii="Calibri" w:hAnsi="Calibri" w:cs="Calibri"/>
                <w:kern w:val="0"/>
                <w:sz w:val="20"/>
                <w:szCs w:val="20"/>
              </w:rPr>
            </w:pPr>
            <w:r w:rsidRPr="00F4604F">
              <w:rPr>
                <w:rFonts w:ascii="Calibri" w:hAnsi="Calibri" w:cs="Calibri"/>
                <w:kern w:val="0"/>
                <w:sz w:val="20"/>
                <w:szCs w:val="20"/>
              </w:rPr>
              <w:t>Nie dotyczy</w:t>
            </w:r>
          </w:p>
        </w:tc>
      </w:tr>
      <w:tr w:rsidR="00675A1A" w14:paraId="46CE1CEB"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3DEB317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Data zakończenia budowy domu jednorodzinnego</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52A8D" w14:textId="77777777" w:rsidR="00675A1A" w:rsidRPr="006060A6" w:rsidRDefault="00675A1A" w:rsidP="00DE6727">
            <w:pPr>
              <w:spacing w:after="0" w:line="240" w:lineRule="auto"/>
              <w:rPr>
                <w:rFonts w:ascii="Calibri" w:hAnsi="Calibri" w:cs="Calibri"/>
                <w:kern w:val="0"/>
                <w:sz w:val="20"/>
                <w:szCs w:val="20"/>
              </w:rPr>
            </w:pPr>
            <w:r w:rsidRPr="006060A6">
              <w:rPr>
                <w:rFonts w:ascii="Calibri" w:hAnsi="Calibri" w:cs="Calibri"/>
                <w:kern w:val="0"/>
                <w:sz w:val="20"/>
                <w:szCs w:val="20"/>
              </w:rPr>
              <w:t>Nie dotyczy</w:t>
            </w:r>
          </w:p>
        </w:tc>
      </w:tr>
      <w:tr w:rsidR="00675A1A" w14:paraId="7F6EB617"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C3837F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 xml:space="preserve">Planowany termin rozpoczęcia i zakończenia robót budowlanych </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7F258" w14:textId="77777777" w:rsidR="00675A1A" w:rsidRDefault="00675A1A" w:rsidP="00DE6727">
            <w:pPr>
              <w:spacing w:after="0" w:line="276" w:lineRule="auto"/>
              <w:rPr>
                <w:rFonts w:ascii="Calibri" w:hAnsi="Calibri" w:cs="Calibri"/>
                <w:color w:val="000000"/>
                <w:kern w:val="0"/>
                <w:sz w:val="20"/>
                <w:szCs w:val="20"/>
                <w:shd w:val="clear" w:color="auto" w:fill="FFFFFF"/>
              </w:rPr>
            </w:pPr>
            <w:r>
              <w:rPr>
                <w:rFonts w:ascii="Calibri" w:hAnsi="Calibri" w:cs="Calibri"/>
                <w:color w:val="000000"/>
                <w:kern w:val="0"/>
                <w:sz w:val="20"/>
                <w:szCs w:val="20"/>
                <w:shd w:val="clear" w:color="auto" w:fill="FFFFFF"/>
              </w:rPr>
              <w:t>Rozpoczęcie 13.12.</w:t>
            </w:r>
            <w:proofErr w:type="gramStart"/>
            <w:r>
              <w:rPr>
                <w:rFonts w:ascii="Calibri" w:hAnsi="Calibri" w:cs="Calibri"/>
                <w:color w:val="000000"/>
                <w:kern w:val="0"/>
                <w:sz w:val="20"/>
                <w:szCs w:val="20"/>
                <w:shd w:val="clear" w:color="auto" w:fill="FFFFFF"/>
              </w:rPr>
              <w:t>2023r.</w:t>
            </w:r>
            <w:proofErr w:type="gramEnd"/>
          </w:p>
          <w:p w14:paraId="68A8FE4C" w14:textId="77777777" w:rsidR="00675A1A" w:rsidRDefault="00675A1A" w:rsidP="00DE6727">
            <w:pPr>
              <w:spacing w:after="0" w:line="276" w:lineRule="auto"/>
              <w:rPr>
                <w:rFonts w:ascii="Times New Roman" w:hAnsi="Times New Roman"/>
                <w:kern w:val="0"/>
              </w:rPr>
            </w:pPr>
            <w:r>
              <w:rPr>
                <w:rFonts w:ascii="Calibri" w:hAnsi="Calibri" w:cs="Calibri"/>
                <w:color w:val="000000"/>
                <w:kern w:val="0"/>
                <w:sz w:val="20"/>
                <w:szCs w:val="20"/>
                <w:shd w:val="clear" w:color="auto" w:fill="FFFFFF"/>
              </w:rPr>
              <w:t>Zakończenie 31.03.</w:t>
            </w:r>
            <w:proofErr w:type="gramStart"/>
            <w:r>
              <w:rPr>
                <w:rFonts w:ascii="Calibri" w:hAnsi="Calibri" w:cs="Calibri"/>
                <w:color w:val="000000"/>
                <w:kern w:val="0"/>
                <w:sz w:val="20"/>
                <w:szCs w:val="20"/>
                <w:shd w:val="clear" w:color="auto" w:fill="FFFFFF"/>
              </w:rPr>
              <w:t>2027r.</w:t>
            </w:r>
            <w:proofErr w:type="gramEnd"/>
          </w:p>
          <w:p w14:paraId="36308BC4" w14:textId="77777777" w:rsidR="00675A1A" w:rsidRDefault="00675A1A" w:rsidP="00DE6727">
            <w:pPr>
              <w:spacing w:after="0" w:line="240" w:lineRule="auto"/>
              <w:rPr>
                <w:rFonts w:ascii="Times New Roman" w:hAnsi="Times New Roman"/>
                <w:kern w:val="0"/>
              </w:rPr>
            </w:pPr>
          </w:p>
        </w:tc>
      </w:tr>
      <w:tr w:rsidR="00675A1A" w14:paraId="184F1D3D" w14:textId="77777777" w:rsidTr="00DE6727">
        <w:trPr>
          <w:trHeight w:val="365"/>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554C930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Opis przedsięwzięcia deweloperskiego lub zadania inwestycyjnego</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16B5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Liczba budynków</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0468B"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11 budynków mieszkalnych jednorodzinnych dwulokalowych</w:t>
            </w:r>
          </w:p>
        </w:tc>
      </w:tr>
      <w:tr w:rsidR="00675A1A" w14:paraId="629B2356" w14:textId="77777777" w:rsidTr="00DE6727">
        <w:trPr>
          <w:trHeight w:val="365"/>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2E215F5D"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44116"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Rozmieszczenie budynków na nieruchomości (należy podać minimalny odstęp między budynkami)</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51BBB7"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Zespół budynków w zabudowie szeregowej.</w:t>
            </w:r>
          </w:p>
        </w:tc>
      </w:tr>
      <w:tr w:rsidR="00675A1A" w14:paraId="37E8259D"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4A77B7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Sposób pomiaru powierzchni użytkowej lokalu mieszkalnego albo domu jednorodzinnego</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9AE7F" w14:textId="77777777" w:rsidR="00675A1A" w:rsidRPr="006B7446" w:rsidRDefault="00675A1A" w:rsidP="00DE6727">
            <w:pPr>
              <w:pStyle w:val="Default"/>
              <w:rPr>
                <w:rFonts w:ascii="Calibri" w:hAnsi="Calibri" w:cs="Calibri"/>
                <w:sz w:val="20"/>
                <w:szCs w:val="20"/>
              </w:rPr>
            </w:pPr>
            <w:r w:rsidRPr="006B7446">
              <w:rPr>
                <w:rFonts w:ascii="Calibri" w:hAnsi="Calibri" w:cs="Calibri"/>
                <w:sz w:val="20"/>
                <w:szCs w:val="20"/>
              </w:rPr>
              <w:t xml:space="preserve">Na podstawie Rozporządzenia Ministra Rozwoju z dnia 11 września 2020 r. w sprawie szczegółowego zakresu i formy projektu budowlanego (z </w:t>
            </w:r>
            <w:proofErr w:type="spellStart"/>
            <w:r w:rsidRPr="006B7446">
              <w:rPr>
                <w:rFonts w:ascii="Calibri" w:hAnsi="Calibri" w:cs="Calibri"/>
                <w:sz w:val="20"/>
                <w:szCs w:val="20"/>
              </w:rPr>
              <w:t>późn</w:t>
            </w:r>
            <w:proofErr w:type="spellEnd"/>
            <w:r w:rsidRPr="006B7446">
              <w:rPr>
                <w:rFonts w:ascii="Calibri" w:hAnsi="Calibri" w:cs="Calibri"/>
                <w:sz w:val="20"/>
                <w:szCs w:val="20"/>
              </w:rPr>
              <w:t>. zm.) oraz zgodnie z Polską Normą PN-ISO 9836:2022-07.</w:t>
            </w:r>
          </w:p>
        </w:tc>
      </w:tr>
      <w:tr w:rsidR="00675A1A" w14:paraId="4F75506C" w14:textId="77777777" w:rsidTr="00DE6727">
        <w:trPr>
          <w:trHeight w:val="610"/>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5FF7CBF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Zamierzony sposób i procentowy udział źródeł finansowania przedsięwzięcia deweloperskiego lub zadania inwestycyjnego</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583A44"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Rodzaj posiadanych środków finansowych – kredyt, środki własne, inne</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00864" w14:textId="77777777" w:rsidR="00675A1A" w:rsidRPr="00705A85" w:rsidRDefault="00675A1A" w:rsidP="00DE6727">
            <w:pPr>
              <w:spacing w:after="0" w:line="240" w:lineRule="auto"/>
              <w:rPr>
                <w:rFonts w:ascii="Times New Roman" w:hAnsi="Times New Roman"/>
                <w:color w:val="000000" w:themeColor="text1"/>
                <w:kern w:val="0"/>
              </w:rPr>
            </w:pPr>
            <w:r w:rsidRPr="00705A85">
              <w:rPr>
                <w:rFonts w:ascii="Calibri" w:hAnsi="Calibri" w:cs="Calibri"/>
                <w:color w:val="000000" w:themeColor="text1"/>
                <w:kern w:val="0"/>
                <w:sz w:val="20"/>
                <w:szCs w:val="20"/>
              </w:rPr>
              <w:t>Kredyt –</w:t>
            </w:r>
            <w:r>
              <w:rPr>
                <w:rFonts w:ascii="Calibri" w:hAnsi="Calibri" w:cs="Calibri"/>
                <w:color w:val="000000" w:themeColor="text1"/>
                <w:kern w:val="0"/>
                <w:sz w:val="20"/>
                <w:szCs w:val="20"/>
              </w:rPr>
              <w:t xml:space="preserve"> 75 </w:t>
            </w:r>
            <w:r w:rsidRPr="00705A85">
              <w:rPr>
                <w:rFonts w:ascii="Calibri" w:hAnsi="Calibri" w:cs="Calibri"/>
                <w:color w:val="000000" w:themeColor="text1"/>
                <w:kern w:val="0"/>
                <w:sz w:val="20"/>
                <w:szCs w:val="20"/>
              </w:rPr>
              <w:t>%</w:t>
            </w:r>
          </w:p>
          <w:p w14:paraId="490E94F5" w14:textId="77777777" w:rsidR="00675A1A" w:rsidRDefault="00675A1A" w:rsidP="00DE6727">
            <w:pPr>
              <w:spacing w:after="0" w:line="240" w:lineRule="auto"/>
              <w:rPr>
                <w:rFonts w:ascii="Times New Roman" w:hAnsi="Times New Roman"/>
                <w:kern w:val="0"/>
              </w:rPr>
            </w:pPr>
            <w:r w:rsidRPr="00705A85">
              <w:rPr>
                <w:rFonts w:ascii="Calibri" w:hAnsi="Calibri" w:cs="Calibri"/>
                <w:color w:val="000000" w:themeColor="text1"/>
                <w:kern w:val="0"/>
                <w:sz w:val="20"/>
                <w:szCs w:val="20"/>
              </w:rPr>
              <w:t>Środki własne –</w:t>
            </w:r>
            <w:r>
              <w:rPr>
                <w:rFonts w:ascii="Calibri" w:hAnsi="Calibri" w:cs="Calibri"/>
                <w:color w:val="000000" w:themeColor="text1"/>
                <w:kern w:val="0"/>
                <w:sz w:val="20"/>
                <w:szCs w:val="20"/>
              </w:rPr>
              <w:t xml:space="preserve"> 25 </w:t>
            </w:r>
            <w:r w:rsidRPr="00705A85">
              <w:rPr>
                <w:rFonts w:ascii="Calibri" w:hAnsi="Calibri" w:cs="Calibri"/>
                <w:color w:val="000000" w:themeColor="text1"/>
                <w:kern w:val="0"/>
                <w:sz w:val="20"/>
                <w:szCs w:val="20"/>
              </w:rPr>
              <w:t xml:space="preserve">% </w:t>
            </w:r>
          </w:p>
        </w:tc>
      </w:tr>
      <w:tr w:rsidR="00675A1A" w14:paraId="742FD858" w14:textId="77777777" w:rsidTr="00DE6727">
        <w:trPr>
          <w:trHeight w:val="610"/>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629B1BC5"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53AE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 następujących instytucjach finansowych (wypełnia się w przypadku kredytu)</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227DB" w14:textId="77777777" w:rsidR="00675A1A" w:rsidRPr="006F7704" w:rsidRDefault="00675A1A" w:rsidP="00DE6727">
            <w:pPr>
              <w:spacing w:after="0" w:line="240" w:lineRule="auto"/>
              <w:rPr>
                <w:rFonts w:ascii="Calibri" w:hAnsi="Calibri" w:cs="Calibri"/>
                <w:kern w:val="0"/>
                <w:sz w:val="20"/>
                <w:szCs w:val="20"/>
              </w:rPr>
            </w:pPr>
            <w:r w:rsidRPr="00EA26EA">
              <w:rPr>
                <w:rFonts w:ascii="Arial" w:hAnsi="Arial" w:cs="Arial"/>
                <w:b/>
                <w:bCs/>
                <w:sz w:val="21"/>
                <w:szCs w:val="21"/>
              </w:rPr>
              <w:t>PKO B</w:t>
            </w:r>
            <w:r>
              <w:rPr>
                <w:b/>
                <w:bCs/>
                <w:sz w:val="21"/>
                <w:szCs w:val="21"/>
              </w:rPr>
              <w:t xml:space="preserve">ank </w:t>
            </w:r>
            <w:r w:rsidRPr="00EA26EA">
              <w:rPr>
                <w:rFonts w:ascii="Arial" w:hAnsi="Arial" w:cs="Arial"/>
                <w:b/>
                <w:bCs/>
                <w:sz w:val="21"/>
                <w:szCs w:val="21"/>
              </w:rPr>
              <w:t>P</w:t>
            </w:r>
            <w:r>
              <w:rPr>
                <w:b/>
                <w:bCs/>
                <w:sz w:val="21"/>
                <w:szCs w:val="21"/>
              </w:rPr>
              <w:t>olski S.A.</w:t>
            </w:r>
          </w:p>
        </w:tc>
      </w:tr>
      <w:tr w:rsidR="00675A1A" w14:paraId="76BB4190" w14:textId="77777777" w:rsidTr="00DE6727">
        <w:trPr>
          <w:trHeight w:val="120"/>
        </w:trPr>
        <w:tc>
          <w:tcPr>
            <w:tcW w:w="1527" w:type="pct"/>
            <w:vMerge w:val="restar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A8B955D"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Środki ochrony nabywców</w:t>
            </w: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DF21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Otwarty mieszkaniowy rachunek powierniczy*</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E40DD" w14:textId="77777777" w:rsidR="00675A1A" w:rsidRDefault="00675A1A" w:rsidP="00DE6727">
            <w:pPr>
              <w:spacing w:after="0" w:line="240" w:lineRule="auto"/>
              <w:rPr>
                <w:rFonts w:ascii="Times New Roman" w:hAnsi="Times New Roman"/>
                <w:color w:val="FF0000"/>
                <w:kern w:val="0"/>
              </w:rPr>
            </w:pPr>
            <w:r w:rsidRPr="00705A85">
              <w:rPr>
                <w:rFonts w:ascii="Calibri" w:hAnsi="Calibri" w:cs="Calibri"/>
                <w:strike/>
                <w:color w:val="000000" w:themeColor="text1"/>
                <w:kern w:val="0"/>
                <w:sz w:val="20"/>
                <w:szCs w:val="20"/>
              </w:rPr>
              <w:t>Zamknięty mieszkaniowy rachunek powierniczy*</w:t>
            </w:r>
          </w:p>
        </w:tc>
      </w:tr>
      <w:tr w:rsidR="00675A1A" w14:paraId="39EC0151" w14:textId="77777777" w:rsidTr="00DE6727">
        <w:trPr>
          <w:trHeight w:val="120"/>
        </w:trPr>
        <w:tc>
          <w:tcPr>
            <w:tcW w:w="1527" w:type="pct"/>
            <w:vMerge/>
            <w:tcBorders>
              <w:top w:val="single" w:sz="4" w:space="0" w:color="000000"/>
              <w:left w:val="single" w:sz="4" w:space="0" w:color="000000"/>
              <w:bottom w:val="single" w:sz="4" w:space="0" w:color="000000"/>
              <w:right w:val="single" w:sz="4" w:space="0" w:color="000000"/>
            </w:tcBorders>
            <w:vAlign w:val="center"/>
            <w:hideMark/>
          </w:tcPr>
          <w:p w14:paraId="08CF2501" w14:textId="77777777" w:rsidR="00675A1A" w:rsidRDefault="00675A1A" w:rsidP="00DE6727">
            <w:pPr>
              <w:spacing w:after="0" w:line="240" w:lineRule="auto"/>
              <w:rPr>
                <w:rFonts w:ascii="Times New Roman" w:hAnsi="Times New Roman"/>
                <w:kern w:val="0"/>
              </w:rPr>
            </w:pPr>
          </w:p>
        </w:tc>
        <w:tc>
          <w:tcPr>
            <w:tcW w:w="18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CB5C3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Wysokość stawki procentowej, według której jest obliczana kwota składki na Deweloperski Fundusz Gwarancyjny</w:t>
            </w:r>
            <w:r>
              <w:rPr>
                <w:rFonts w:ascii="Calibri" w:hAnsi="Calibri" w:cs="Calibri"/>
                <w:color w:val="000000"/>
                <w:kern w:val="0"/>
                <w:sz w:val="12"/>
                <w:szCs w:val="12"/>
                <w:vertAlign w:val="superscript"/>
              </w:rPr>
              <w:t>)</w:t>
            </w:r>
          </w:p>
        </w:tc>
        <w:tc>
          <w:tcPr>
            <w:tcW w:w="1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DCDC6" w14:textId="77777777" w:rsidR="00675A1A" w:rsidRDefault="00675A1A" w:rsidP="00DE6727">
            <w:pPr>
              <w:spacing w:after="0" w:line="240" w:lineRule="auto"/>
              <w:rPr>
                <w:rFonts w:ascii="Times New Roman" w:hAnsi="Times New Roman"/>
                <w:color w:val="FF0000"/>
                <w:kern w:val="0"/>
              </w:rPr>
            </w:pPr>
            <w:r w:rsidRPr="00705A85">
              <w:rPr>
                <w:rFonts w:ascii="Calibri" w:hAnsi="Calibri" w:cs="Calibri"/>
                <w:color w:val="000000" w:themeColor="text1"/>
                <w:kern w:val="0"/>
                <w:sz w:val="20"/>
                <w:szCs w:val="20"/>
                <w:shd w:val="clear" w:color="auto" w:fill="FFFFFF"/>
              </w:rPr>
              <w:t>0.45%</w:t>
            </w:r>
          </w:p>
        </w:tc>
      </w:tr>
      <w:tr w:rsidR="00675A1A" w14:paraId="186A6048"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DFB58D8"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Główne zasady funkcjonowania wybranego rodzaju zabezpieczenia środków nabywcy</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C16D6" w14:textId="77777777" w:rsidR="00675A1A" w:rsidRDefault="00675A1A" w:rsidP="00DE6727">
            <w:pPr>
              <w:pStyle w:val="Default"/>
              <w:rPr>
                <w:rFonts w:ascii="Calibri" w:hAnsi="Calibri" w:cs="Calibri"/>
                <w:sz w:val="20"/>
                <w:szCs w:val="20"/>
              </w:rPr>
            </w:pPr>
          </w:p>
          <w:p w14:paraId="7F54C457"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Otwarty rachunek powierniczy w</w:t>
            </w:r>
            <w:r w:rsidRPr="009939B4">
              <w:rPr>
                <w:rFonts w:ascii="Calibri" w:hAnsi="Calibri" w:cs="Calibri"/>
                <w:b/>
                <w:bCs/>
                <w:sz w:val="20"/>
                <w:szCs w:val="20"/>
              </w:rPr>
              <w:t xml:space="preserve"> PKO Bank Polski S.A.</w:t>
            </w:r>
            <w:r w:rsidRPr="009939B4">
              <w:rPr>
                <w:rFonts w:ascii="Calibri" w:hAnsi="Calibri" w:cs="Calibri"/>
                <w:sz w:val="20"/>
                <w:szCs w:val="20"/>
              </w:rPr>
              <w:t xml:space="preserve"> Stronami umowy rachunku powierniczego są bank i posiadacz rachunku (deweloper). Bank jest odpowiedzialny za ochronę środków zgromadzonych na mieszkaniowym rachunku powierniczym przez nabywców nowych mieszkań. Na mieszkaniowym rachunku powierniczym mogą być gromadzone wyłącznie środki pieniężne powierzone przez nabywców nowych mieszkań - na podstawie odrębnych umów deweloperskich, zawartych pomiędzy deweloperem i nabywcami nowych mieszkań. Uruchomienie środków z tych rachunków następuje nie wcześniej niż po 30 </w:t>
            </w:r>
            <w:r w:rsidRPr="009939B4">
              <w:rPr>
                <w:rFonts w:ascii="Calibri" w:hAnsi="Calibri" w:cs="Calibri"/>
                <w:sz w:val="20"/>
                <w:szCs w:val="20"/>
              </w:rPr>
              <w:lastRenderedPageBreak/>
              <w:t xml:space="preserve">dniach od dnia zawarcia umowy deweloperskiej i po stwierdzeniu zakończenia każdego kolejnego etapu budowy, czego potwierdzeniem jest kontrola stanu budowy przez instytucję uprawnioną współpracującą w tym zakresie z Bankiem. W przypadku zakończenia ostatniego etapu budowy, określonego w harmonogramie, Bank wypłaca Deweloperowi pozostałe na otwartym mieszkaniowym rachunku powierniczym środki pieniężne wpłacone przez Nabywcę na poczet realizacji ostatniego etapu prac po otrzymaniu wypisu aktu notarialnego umowy przenoszącej na Nabywcę prawa wynikającego z umowy deweloperskiej, w stanie wolnym od obciążeń, praw i roszczeń osób trzecich, z wyjątkiem obciążeń, na które wyraził zgodę Nabywca. Koszty prowadzenia rachunku ponosi deweloper. </w:t>
            </w:r>
          </w:p>
          <w:p w14:paraId="71FD2B13" w14:textId="77777777" w:rsidR="00675A1A" w:rsidRPr="009939B4" w:rsidRDefault="00675A1A" w:rsidP="00DE6727">
            <w:pPr>
              <w:spacing w:after="0" w:line="240" w:lineRule="auto"/>
              <w:rPr>
                <w:rFonts w:ascii="Calibri" w:hAnsi="Calibri" w:cs="Calibri"/>
                <w:kern w:val="0"/>
                <w:sz w:val="20"/>
                <w:szCs w:val="20"/>
              </w:rPr>
            </w:pPr>
            <w:r w:rsidRPr="009939B4">
              <w:rPr>
                <w:rFonts w:ascii="Calibri" w:hAnsi="Calibri" w:cs="Calibri"/>
                <w:sz w:val="20"/>
                <w:szCs w:val="20"/>
              </w:rPr>
              <w:t xml:space="preserve">Prawo wypowiedzenia umowy mieszkaniowego rachunku powierniczego przysługuje wyłącznie bankowi i tylko z ważnych powodów. Termin wypowiedzenia umowy mieszkaniowego rachunku powierniczego wynosi 60 dni, z </w:t>
            </w:r>
            <w:proofErr w:type="gramStart"/>
            <w:r w:rsidRPr="009939B4">
              <w:rPr>
                <w:rFonts w:ascii="Calibri" w:hAnsi="Calibri" w:cs="Calibri"/>
                <w:sz w:val="20"/>
                <w:szCs w:val="20"/>
              </w:rPr>
              <w:t>zastrzeżeniem</w:t>
            </w:r>
            <w:proofErr w:type="gramEnd"/>
            <w:r w:rsidRPr="009939B4">
              <w:rPr>
                <w:rFonts w:ascii="Calibri" w:hAnsi="Calibri" w:cs="Calibri"/>
                <w:sz w:val="20"/>
                <w:szCs w:val="20"/>
              </w:rPr>
              <w:t xml:space="preserve"> że termin ten ulega skróceniu, w </w:t>
            </w:r>
            <w:proofErr w:type="gramStart"/>
            <w:r w:rsidRPr="009939B4">
              <w:rPr>
                <w:rFonts w:ascii="Calibri" w:hAnsi="Calibri" w:cs="Calibri"/>
                <w:sz w:val="20"/>
                <w:szCs w:val="20"/>
              </w:rPr>
              <w:t>przypadku</w:t>
            </w:r>
            <w:proofErr w:type="gramEnd"/>
            <w:r w:rsidRPr="009939B4">
              <w:rPr>
                <w:rFonts w:ascii="Calibri" w:hAnsi="Calibri" w:cs="Calibri"/>
                <w:sz w:val="20"/>
                <w:szCs w:val="20"/>
              </w:rPr>
              <w:t xml:space="preserve"> gdy przed jego upływem deweloper zawrze umowę mieszkaniowego rachunku powierniczego z innym bankiem lub spółdzielczą kasą oszczędnościowo - rozliczeniową. Bank informuje nabywcę na papierze lub innym trwałym nośniku o terminie, w którym wypowiedział umowę mieszkaniowego rachunku powierniczego, w terminie 10 dni od dnia jej wypowiedzenia. </w:t>
            </w:r>
          </w:p>
        </w:tc>
      </w:tr>
      <w:tr w:rsidR="00675A1A" w14:paraId="15D2758B"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43FC5EAE"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lastRenderedPageBreak/>
              <w:t>Nazwa instytucji zapewniającej bezpieczeństwo środków nabywcy</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1FB7" w14:textId="77777777" w:rsidR="00675A1A" w:rsidRDefault="00675A1A" w:rsidP="00DE6727">
            <w:pPr>
              <w:spacing w:after="0" w:line="240" w:lineRule="auto"/>
              <w:rPr>
                <w:rFonts w:ascii="Times New Roman" w:hAnsi="Times New Roman"/>
                <w:kern w:val="0"/>
              </w:rPr>
            </w:pPr>
            <w:r w:rsidRPr="00705A85">
              <w:rPr>
                <w:rFonts w:ascii="Calibri" w:hAnsi="Calibri" w:cs="Calibri"/>
                <w:color w:val="000000" w:themeColor="text1"/>
                <w:kern w:val="0"/>
                <w:sz w:val="20"/>
                <w:szCs w:val="20"/>
              </w:rPr>
              <w:t xml:space="preserve">Bank prowadzący rachunek powierniczy </w:t>
            </w:r>
            <w:r w:rsidRPr="006060A6">
              <w:rPr>
                <w:rFonts w:ascii="Arial" w:hAnsi="Arial" w:cs="Arial"/>
                <w:b/>
                <w:bCs/>
                <w:sz w:val="20"/>
                <w:szCs w:val="20"/>
              </w:rPr>
              <w:t>PKO Bank Polski S.A.</w:t>
            </w:r>
          </w:p>
        </w:tc>
      </w:tr>
      <w:tr w:rsidR="00675A1A" w14:paraId="53D84F3A"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45F4029A"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Harmonogram przedsięwzięcia deweloperskiego lub zadania inwestycyjnego</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4B51F" w14:textId="77777777" w:rsidR="00675A1A" w:rsidRDefault="00675A1A" w:rsidP="00DE6727">
            <w:pPr>
              <w:spacing w:after="0" w:line="240" w:lineRule="auto"/>
              <w:rPr>
                <w:rFonts w:ascii="Calibri" w:hAnsi="Calibri" w:cs="Calibri"/>
                <w:color w:val="000000" w:themeColor="text1"/>
                <w:kern w:val="0"/>
                <w:sz w:val="20"/>
                <w:szCs w:val="20"/>
              </w:rPr>
            </w:pPr>
            <w:r w:rsidRPr="00705A85">
              <w:rPr>
                <w:rFonts w:ascii="Calibri" w:hAnsi="Calibri" w:cs="Calibri"/>
                <w:color w:val="000000" w:themeColor="text1"/>
                <w:kern w:val="0"/>
                <w:sz w:val="20"/>
                <w:szCs w:val="20"/>
              </w:rPr>
              <w:t>W załączeniu (w ujęciu rzeczowym i procentowym).</w:t>
            </w:r>
          </w:p>
          <w:p w14:paraId="5E7544AB" w14:textId="77777777" w:rsidR="00675A1A" w:rsidRPr="00805301" w:rsidRDefault="00675A1A" w:rsidP="00DE6727">
            <w:pPr>
              <w:spacing w:after="0" w:line="240" w:lineRule="auto"/>
              <w:rPr>
                <w:rFonts w:ascii="Times New Roman" w:hAnsi="Times New Roman"/>
                <w:color w:val="EE0000"/>
                <w:kern w:val="0"/>
              </w:rPr>
            </w:pPr>
          </w:p>
        </w:tc>
      </w:tr>
      <w:tr w:rsidR="00675A1A" w14:paraId="7F6B6B6E" w14:textId="77777777" w:rsidTr="00DE6727">
        <w:trPr>
          <w:trHeight w:val="81"/>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2C644E9F"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Dopuszczenie waloryzacji ceny oraz określenie zasad waloryzacji</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8E87B"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Zmiana ceny wyłącznie w przypadku zmiany stawki podatku VAT lub na skutek obmiarów powykonawczych na warunkach określonych w umowie deweloperskiej </w:t>
            </w:r>
          </w:p>
        </w:tc>
      </w:tr>
      <w:tr w:rsidR="00675A1A" w14:paraId="02CF3449" w14:textId="77777777" w:rsidTr="00DE6727">
        <w:trPr>
          <w:trHeight w:val="54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1B2DF"/>
            <w:tcMar>
              <w:top w:w="0" w:type="dxa"/>
              <w:left w:w="108" w:type="dxa"/>
              <w:bottom w:w="0" w:type="dxa"/>
              <w:right w:w="108" w:type="dxa"/>
            </w:tcMar>
            <w:vAlign w:val="center"/>
            <w:hideMark/>
          </w:tcPr>
          <w:p w14:paraId="5705565E"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t xml:space="preserve">WARUNKI ODSTĄPIENIA OD UMOWY DEWELOPERSKIEJ LUB UMOWY, O KTÓREJ MOWA </w:t>
            </w:r>
            <w:r>
              <w:rPr>
                <w:rFonts w:ascii="Calibri" w:hAnsi="Calibri" w:cs="Calibri"/>
                <w:b/>
                <w:bCs/>
                <w:color w:val="000000"/>
                <w:kern w:val="0"/>
              </w:rPr>
              <w:br/>
              <w:t>W ART. 2 UST. 1 PKT 2, 3 LUB 5 USTAWY Z DNIA 20 MAJA 2021 R. O OCHRONIE PRAW NABYWCY LOKALU MIESZKALNEGO LUB DOMU JEDNORODZINNEGO ORAZ DEWELOPERSKIM FUNDUSZU GWARANCYJNYM</w:t>
            </w:r>
          </w:p>
        </w:tc>
      </w:tr>
      <w:tr w:rsidR="00675A1A" w14:paraId="63A92EC5" w14:textId="77777777" w:rsidTr="00DE6727">
        <w:trPr>
          <w:trHeight w:val="549"/>
        </w:trPr>
        <w:tc>
          <w:tcPr>
            <w:tcW w:w="1527" w:type="pct"/>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621589B8" w14:textId="77777777" w:rsidR="00675A1A" w:rsidRDefault="00675A1A" w:rsidP="00DE6727">
            <w:pPr>
              <w:spacing w:after="0" w:line="240" w:lineRule="auto"/>
              <w:ind w:right="101"/>
              <w:rPr>
                <w:rFonts w:ascii="Times New Roman" w:hAnsi="Times New Roman"/>
                <w:kern w:val="0"/>
              </w:rPr>
            </w:pPr>
            <w:r>
              <w:rPr>
                <w:rFonts w:ascii="Calibri" w:hAnsi="Calibri" w:cs="Calibri"/>
                <w:color w:val="000000"/>
                <w:kern w:val="0"/>
                <w:sz w:val="20"/>
                <w:szCs w:val="20"/>
              </w:rPr>
              <w:t xml:space="preserve">Warunki, na jakich można odstąpić od umowy </w:t>
            </w:r>
            <w:proofErr w:type="spellStart"/>
            <w:r>
              <w:rPr>
                <w:rFonts w:ascii="Calibri" w:hAnsi="Calibri" w:cs="Calibri"/>
                <w:color w:val="000000"/>
                <w:kern w:val="0"/>
                <w:sz w:val="20"/>
                <w:szCs w:val="20"/>
              </w:rPr>
              <w:t>dewelo</w:t>
            </w:r>
            <w:proofErr w:type="spellEnd"/>
            <w:r>
              <w:rPr>
                <w:rFonts w:ascii="Calibri" w:hAnsi="Calibri" w:cs="Calibri"/>
                <w:color w:val="000000"/>
                <w:kern w:val="0"/>
                <w:sz w:val="20"/>
                <w:szCs w:val="20"/>
              </w:rPr>
              <w:t>- perskiej lub jednej z umów, o których mowa w art. 2 ust. 1 pkt 2, 3 lub 5 ustawy z dnia 20 maja 2021 r. o ochronie praw nabywcy lokalu mieszkalnego lub domu jednorodzinnego oraz Deweloperskim Funduszu </w:t>
            </w:r>
          </w:p>
          <w:p w14:paraId="6F513055" w14:textId="77777777" w:rsidR="00675A1A" w:rsidRDefault="00675A1A" w:rsidP="00DE6727">
            <w:pPr>
              <w:spacing w:after="0" w:line="240" w:lineRule="auto"/>
              <w:rPr>
                <w:rFonts w:ascii="Times New Roman" w:hAnsi="Times New Roman"/>
                <w:kern w:val="0"/>
              </w:rPr>
            </w:pPr>
            <w:r>
              <w:rPr>
                <w:rFonts w:ascii="Calibri" w:hAnsi="Calibri" w:cs="Calibri"/>
                <w:color w:val="000000"/>
                <w:kern w:val="0"/>
                <w:sz w:val="20"/>
                <w:szCs w:val="20"/>
              </w:rPr>
              <w:t>Gwarancyjnym</w:t>
            </w:r>
          </w:p>
        </w:tc>
        <w:tc>
          <w:tcPr>
            <w:tcW w:w="347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83194" w14:textId="77777777" w:rsidR="00675A1A" w:rsidRDefault="00675A1A" w:rsidP="00DE6727">
            <w:pPr>
              <w:pStyle w:val="Default"/>
              <w:rPr>
                <w:rFonts w:ascii="Calibri" w:hAnsi="Calibri" w:cs="Calibri"/>
                <w:sz w:val="20"/>
                <w:szCs w:val="20"/>
              </w:rPr>
            </w:pPr>
          </w:p>
          <w:p w14:paraId="6D52C89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 Nabywca ma prawo odstąpić od umowy deweloperskiej: </w:t>
            </w:r>
          </w:p>
          <w:p w14:paraId="1BE724AD" w14:textId="77777777" w:rsidR="00675A1A" w:rsidRPr="009939B4" w:rsidRDefault="00675A1A" w:rsidP="00DE6727">
            <w:pPr>
              <w:pStyle w:val="Default"/>
              <w:rPr>
                <w:rFonts w:ascii="Calibri" w:hAnsi="Calibri" w:cs="Calibri"/>
                <w:sz w:val="20"/>
                <w:szCs w:val="20"/>
              </w:rPr>
            </w:pPr>
            <w:proofErr w:type="gramStart"/>
            <w:r w:rsidRPr="009939B4">
              <w:rPr>
                <w:rFonts w:ascii="Calibri" w:hAnsi="Calibri" w:cs="Calibri"/>
                <w:sz w:val="20"/>
                <w:szCs w:val="20"/>
              </w:rPr>
              <w:t>1)</w:t>
            </w:r>
            <w:proofErr w:type="gramEnd"/>
            <w:r w:rsidRPr="009939B4">
              <w:rPr>
                <w:rFonts w:ascii="Calibri" w:hAnsi="Calibri" w:cs="Calibri"/>
                <w:sz w:val="20"/>
                <w:szCs w:val="20"/>
              </w:rPr>
              <w:t xml:space="preserve"> jeżeli umowa nie zawiera elementów, o których mowa w art. 35 ustawy deweloperskiej, </w:t>
            </w:r>
          </w:p>
          <w:p w14:paraId="0D76BB38" w14:textId="77777777" w:rsidR="00675A1A" w:rsidRPr="009939B4" w:rsidRDefault="00675A1A" w:rsidP="00DE6727">
            <w:pPr>
              <w:pStyle w:val="Default"/>
              <w:rPr>
                <w:rFonts w:ascii="Calibri" w:hAnsi="Calibri" w:cs="Calibri"/>
                <w:sz w:val="20"/>
                <w:szCs w:val="20"/>
              </w:rPr>
            </w:pPr>
            <w:proofErr w:type="gramStart"/>
            <w:r w:rsidRPr="009939B4">
              <w:rPr>
                <w:rFonts w:ascii="Calibri" w:hAnsi="Calibri" w:cs="Calibri"/>
                <w:sz w:val="20"/>
                <w:szCs w:val="20"/>
              </w:rPr>
              <w:t>2)</w:t>
            </w:r>
            <w:proofErr w:type="gramEnd"/>
            <w:r w:rsidRPr="009939B4">
              <w:rPr>
                <w:rFonts w:ascii="Calibri" w:hAnsi="Calibri" w:cs="Calibri"/>
                <w:sz w:val="20"/>
                <w:szCs w:val="20"/>
              </w:rPr>
              <w:t xml:space="preserve"> jeżeli informacje zawarte w umowie nie są zgodne z informacjami zawartymi w prospekcie informacyjnym lub jego załącznikach, z wyjątkiem zmian, </w:t>
            </w:r>
          </w:p>
          <w:p w14:paraId="1EF919EE"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o których mowa w art. 35 ust. 2 ustawy deweloperskiej, </w:t>
            </w:r>
          </w:p>
          <w:p w14:paraId="556476FB" w14:textId="77777777" w:rsidR="00675A1A" w:rsidRPr="009939B4" w:rsidRDefault="00675A1A" w:rsidP="00DE6727">
            <w:pPr>
              <w:pStyle w:val="Default"/>
              <w:rPr>
                <w:rFonts w:ascii="Calibri" w:hAnsi="Calibri" w:cs="Calibri"/>
                <w:sz w:val="20"/>
                <w:szCs w:val="20"/>
              </w:rPr>
            </w:pPr>
            <w:proofErr w:type="gramStart"/>
            <w:r w:rsidRPr="009939B4">
              <w:rPr>
                <w:rFonts w:ascii="Calibri" w:hAnsi="Calibri" w:cs="Calibri"/>
                <w:sz w:val="20"/>
                <w:szCs w:val="20"/>
              </w:rPr>
              <w:t>3)</w:t>
            </w:r>
            <w:proofErr w:type="gramEnd"/>
            <w:r w:rsidRPr="009939B4">
              <w:rPr>
                <w:rFonts w:ascii="Calibri" w:hAnsi="Calibri" w:cs="Calibri"/>
                <w:sz w:val="20"/>
                <w:szCs w:val="20"/>
              </w:rPr>
              <w:t xml:space="preserve"> jeżeli Deweloper nie doręczył Nabywcy zgodnie z art. 21 lub art. 22 ustawy deweloperskiej prospektu informacyjnego wraz z załącznikami lub informacji o zmianie danych lub informacji zawartych w prospekcie informacyjnym lub jego załącznikach, </w:t>
            </w:r>
          </w:p>
          <w:p w14:paraId="0A356BE1" w14:textId="77777777" w:rsidR="00675A1A" w:rsidRPr="009939B4" w:rsidRDefault="00675A1A" w:rsidP="00DE6727">
            <w:pPr>
              <w:pStyle w:val="Default"/>
              <w:rPr>
                <w:rFonts w:ascii="Calibri" w:hAnsi="Calibri" w:cs="Calibri"/>
                <w:sz w:val="20"/>
                <w:szCs w:val="20"/>
              </w:rPr>
            </w:pPr>
            <w:proofErr w:type="gramStart"/>
            <w:r w:rsidRPr="009939B4">
              <w:rPr>
                <w:rFonts w:ascii="Calibri" w:hAnsi="Calibri" w:cs="Calibri"/>
                <w:sz w:val="20"/>
                <w:szCs w:val="20"/>
              </w:rPr>
              <w:t>4)</w:t>
            </w:r>
            <w:proofErr w:type="gramEnd"/>
            <w:r w:rsidRPr="009939B4">
              <w:rPr>
                <w:rFonts w:ascii="Calibri" w:hAnsi="Calibri" w:cs="Calibri"/>
                <w:sz w:val="20"/>
                <w:szCs w:val="20"/>
              </w:rPr>
              <w:t xml:space="preserve"> jeżeli dane lub informacje zawarte w prospekcie informacyjnym lub jego załącznikach, na podstawie których zawarto umowę deweloperską, są niezgodne ze stanem faktycznym lub prawnym w dniu zawarcia umowy, </w:t>
            </w:r>
          </w:p>
          <w:p w14:paraId="3E785168" w14:textId="77777777" w:rsidR="00675A1A" w:rsidRPr="009939B4" w:rsidRDefault="00675A1A" w:rsidP="00DE6727">
            <w:pPr>
              <w:pStyle w:val="Default"/>
              <w:rPr>
                <w:rFonts w:ascii="Calibri" w:hAnsi="Calibri" w:cs="Calibri"/>
                <w:sz w:val="20"/>
                <w:szCs w:val="20"/>
              </w:rPr>
            </w:pPr>
            <w:proofErr w:type="gramStart"/>
            <w:r w:rsidRPr="009939B4">
              <w:rPr>
                <w:rFonts w:ascii="Calibri" w:hAnsi="Calibri" w:cs="Calibri"/>
                <w:sz w:val="20"/>
                <w:szCs w:val="20"/>
              </w:rPr>
              <w:t>5)</w:t>
            </w:r>
            <w:proofErr w:type="gramEnd"/>
            <w:r w:rsidRPr="009939B4">
              <w:rPr>
                <w:rFonts w:ascii="Calibri" w:hAnsi="Calibri" w:cs="Calibri"/>
                <w:sz w:val="20"/>
                <w:szCs w:val="20"/>
              </w:rPr>
              <w:t xml:space="preserve"> jeżeli prospekt informacyjny, na podstawie którego zawarto umowę, nie zawiera informacji określonych we wzorze prospektu informacyjnego, </w:t>
            </w:r>
          </w:p>
          <w:p w14:paraId="28D7E53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6) w przypadku </w:t>
            </w:r>
            <w:proofErr w:type="gramStart"/>
            <w:r w:rsidRPr="009939B4">
              <w:rPr>
                <w:rFonts w:ascii="Calibri" w:hAnsi="Calibri" w:cs="Calibri"/>
                <w:sz w:val="20"/>
                <w:szCs w:val="20"/>
              </w:rPr>
              <w:t>nie przeniesienia</w:t>
            </w:r>
            <w:proofErr w:type="gramEnd"/>
            <w:r w:rsidRPr="009939B4">
              <w:rPr>
                <w:rFonts w:ascii="Calibri" w:hAnsi="Calibri" w:cs="Calibri"/>
                <w:sz w:val="20"/>
                <w:szCs w:val="20"/>
              </w:rPr>
              <w:t xml:space="preserve"> na nabywcę praw wynikających z umowy deweloperskiej, w terminie wynikającym z tej umowy, </w:t>
            </w:r>
          </w:p>
          <w:p w14:paraId="7D82228F"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7) w </w:t>
            </w:r>
            <w:proofErr w:type="gramStart"/>
            <w:r w:rsidRPr="009939B4">
              <w:rPr>
                <w:rFonts w:ascii="Calibri" w:hAnsi="Calibri" w:cs="Calibri"/>
                <w:sz w:val="20"/>
                <w:szCs w:val="20"/>
              </w:rPr>
              <w:t>przypadku</w:t>
            </w:r>
            <w:proofErr w:type="gramEnd"/>
            <w:r w:rsidRPr="009939B4">
              <w:rPr>
                <w:rFonts w:ascii="Calibri" w:hAnsi="Calibri" w:cs="Calibri"/>
                <w:sz w:val="20"/>
                <w:szCs w:val="20"/>
              </w:rPr>
              <w:t xml:space="preserve"> gdy Deweloper nie zawrze umowy mieszkaniowego rachunku powierniczego z innym bankiem lub spółdzielczą kasą oszczędnościowo-kredytową w trybie i terminie, o których mowa w art. 10 ust. 1 ustawy deweloperskiej, </w:t>
            </w:r>
          </w:p>
          <w:p w14:paraId="0474BA25"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lastRenderedPageBreak/>
              <w:t xml:space="preserve">8) w </w:t>
            </w:r>
            <w:proofErr w:type="gramStart"/>
            <w:r w:rsidRPr="009939B4">
              <w:rPr>
                <w:rFonts w:ascii="Calibri" w:hAnsi="Calibri" w:cs="Calibri"/>
                <w:sz w:val="20"/>
                <w:szCs w:val="20"/>
              </w:rPr>
              <w:t>przypadku</w:t>
            </w:r>
            <w:proofErr w:type="gramEnd"/>
            <w:r w:rsidRPr="009939B4">
              <w:rPr>
                <w:rFonts w:ascii="Calibri" w:hAnsi="Calibri" w:cs="Calibri"/>
                <w:sz w:val="20"/>
                <w:szCs w:val="20"/>
              </w:rPr>
              <w:t xml:space="preserve"> gdy Deweloper nie posiada zgody wierzyciela hipotecznego lub zobowiązania do jej udzielenia, o których mowa w art. 25 ust. 1 pkt 1 ustawy deweloperskiej, </w:t>
            </w:r>
          </w:p>
          <w:p w14:paraId="0D15CA07"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9) w przypadku niewykonania przez Dewelopera obowiązku, o którym mowa w art. 12 ust. 2 ustawy deweloperskiej, w terminie określonym w tym przepisie, </w:t>
            </w:r>
          </w:p>
          <w:p w14:paraId="17F424F2"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10) w przypadku nieusunięcia przez Dewelopera wady istotnej lokalu na zasadach określonych w art. 41 ust. 11 ustawy deweloperskiej, </w:t>
            </w:r>
          </w:p>
          <w:p w14:paraId="0C3A0673"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11) w przypadku stwierdzenia przez rzeczoznawcę istnienia wady istotnej, o którym mowa w art. 41 ust. 15 ustawy deweloperskiej, </w:t>
            </w:r>
          </w:p>
          <w:p w14:paraId="2916158A" w14:textId="77777777" w:rsidR="00675A1A" w:rsidRPr="009939B4" w:rsidRDefault="00675A1A" w:rsidP="00DE6727">
            <w:pPr>
              <w:pStyle w:val="Default"/>
              <w:rPr>
                <w:rFonts w:ascii="Calibri" w:hAnsi="Calibri" w:cs="Calibri"/>
                <w:sz w:val="20"/>
                <w:szCs w:val="20"/>
              </w:rPr>
            </w:pPr>
            <w:proofErr w:type="gramStart"/>
            <w:r w:rsidRPr="009939B4">
              <w:rPr>
                <w:rFonts w:ascii="Calibri" w:hAnsi="Calibri" w:cs="Calibri"/>
                <w:sz w:val="20"/>
                <w:szCs w:val="20"/>
              </w:rPr>
              <w:t>12)</w:t>
            </w:r>
            <w:proofErr w:type="gramEnd"/>
            <w:r w:rsidRPr="009939B4">
              <w:rPr>
                <w:rFonts w:ascii="Calibri" w:hAnsi="Calibri" w:cs="Calibri"/>
                <w:sz w:val="20"/>
                <w:szCs w:val="20"/>
              </w:rPr>
              <w:t xml:space="preserve"> jeżeli syndyk zażądał wykonania umowy na podstawie art. 98 ustawy z dnia 28 lutego 2003 r. - Prawo upadłościowe, </w:t>
            </w:r>
          </w:p>
          <w:p w14:paraId="4F45059B" w14:textId="77777777" w:rsidR="00675A1A" w:rsidRDefault="00675A1A" w:rsidP="00DE6727">
            <w:pPr>
              <w:spacing w:after="0" w:line="240" w:lineRule="auto"/>
              <w:rPr>
                <w:rFonts w:ascii="Calibri" w:hAnsi="Calibri" w:cs="Calibri"/>
                <w:sz w:val="20"/>
                <w:szCs w:val="20"/>
              </w:rPr>
            </w:pPr>
            <w:r w:rsidRPr="009939B4">
              <w:rPr>
                <w:rFonts w:ascii="Calibri" w:hAnsi="Calibri" w:cs="Calibri"/>
                <w:sz w:val="20"/>
                <w:szCs w:val="20"/>
              </w:rPr>
              <w:t xml:space="preserve">13) w przypadku, gdy zmiana stawek podatku VAT spowoduje zwiększenie ceny sprzedaży przedmiotu umowy, Nabywcy będzie przysługiwało prawo do odstąpienia od umowy w terminie 14 dni od otrzymania zawiadomienia od Dewelopera, z prawem do zwrotu dokonanych wpłat w nominalnej wysokości </w:t>
            </w:r>
          </w:p>
          <w:p w14:paraId="25F4E72C" w14:textId="77777777" w:rsidR="00675A1A" w:rsidRDefault="00675A1A" w:rsidP="00DE6727">
            <w:pPr>
              <w:spacing w:after="0" w:line="240" w:lineRule="auto"/>
              <w:rPr>
                <w:rFonts w:ascii="Calibri" w:hAnsi="Calibri" w:cs="Calibri"/>
                <w:sz w:val="20"/>
                <w:szCs w:val="20"/>
              </w:rPr>
            </w:pPr>
          </w:p>
          <w:p w14:paraId="3F5550FC" w14:textId="77777777" w:rsidR="00675A1A" w:rsidRPr="009939B4" w:rsidRDefault="00675A1A" w:rsidP="00DE6727">
            <w:pPr>
              <w:spacing w:after="0" w:line="240" w:lineRule="auto"/>
              <w:rPr>
                <w:rFonts w:ascii="Calibri" w:hAnsi="Calibri" w:cs="Calibri"/>
                <w:sz w:val="20"/>
                <w:szCs w:val="20"/>
              </w:rPr>
            </w:pPr>
            <w:r w:rsidRPr="009939B4">
              <w:rPr>
                <w:rFonts w:ascii="Calibri" w:hAnsi="Calibri" w:cs="Calibri"/>
                <w:sz w:val="20"/>
                <w:szCs w:val="20"/>
              </w:rPr>
              <w:t xml:space="preserve">nie później niż w terminie 30 dni liczonych od złożenia oświadczenia o odstąpieniu od umowy. Jeżeli w wyżej wymienionym terminie Nabywca nie złoży stosownego oświadczenia o odstąpieniu od </w:t>
            </w:r>
          </w:p>
          <w:p w14:paraId="4710B0C2"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umowy, to wówczas będzie zobowiązany do uregulowania różnicy w cenie wynikającej ze zmiany stawki podatku VAT, nie później niż w terminie 60 dni od otrzymania zawiadomienia, </w:t>
            </w:r>
          </w:p>
          <w:p w14:paraId="6659DAD1"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14) w przypadku wystąpienia różnicy powierzchni lokalu na podstawie pomiaru powykonawczego w stosunku do powierzchni projektowanej w terminie 14 dni od otrzymania zawiadomienia od Dewelopera w tym zakresie. </w:t>
            </w:r>
          </w:p>
          <w:p w14:paraId="202C63B0"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2. W przypadkach, o których mowa w ust. 1 pkt. 1) – 5), Nabywca ma prawo odstąpienia od umowy deweloperskiej w terminie 30 dni od dnia jej zawarcia. </w:t>
            </w:r>
          </w:p>
          <w:p w14:paraId="61F90FA8"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3. W przypadku, o którym mowa w ust. 1 pkt 6), przed skorzystaniem z prawa do odstąpienia od umowy Nabywca wyznacza Deweloperowi </w:t>
            </w:r>
          </w:p>
          <w:p w14:paraId="2ADA8D21"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120-dniowy termin na przeniesienie praw wynikających z umowy deweloperskiej, a w razie bezskutecznego upływu wyznaczonego terminu jest uprawniony do odstąpienia od tej umowy. Nabywca zachowuje roszczenie z tytułu kary umownej za okres opóźnienia. </w:t>
            </w:r>
          </w:p>
          <w:p w14:paraId="1D64F073"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4. W przypadku, o którym mowa w ust. 1 pkt 7) tego paragrafu, Nabywca ma prawo odstąpienia od umowy deweloperskiej, po dokonaniu przez bank zwrotu środków zgodnie z art. 10 ust. 3 Nowej Ustawy Deweloperskiej. </w:t>
            </w:r>
          </w:p>
          <w:p w14:paraId="44692DD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5. W przypadku, o którym mowa w ust. 1 pkt 8) tego paragrafu, Nabywca ma prawo odstąpienia od umowy deweloperskiej, w terminie 60 dni od dnia jej zawarcia. </w:t>
            </w:r>
          </w:p>
          <w:p w14:paraId="12115912"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6. W przypadku, o którym mowa w ust. 1 pkt 9) tego paragrafu, nabywca ma prawo odstąpienia od umowy deweloperskiej, po upływie 60 dni od dnia podania do publicznej wiadomości informacji, o których mowa w art. 12 ust. 1 ustawy deweloperskiej. </w:t>
            </w:r>
          </w:p>
          <w:p w14:paraId="3E92BC97"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7. Oświadczenie woli Nabywcy o odstąpieniu od umowy deweloperskiej jest skuteczne, jeżeli zawiera zgodę na wykreślenie z księgi wieczystej odpowiedniego roszczenia Nabywcy, złożoną w formie pisemnej z podpisem notarialnie poświadczonym. </w:t>
            </w:r>
          </w:p>
          <w:p w14:paraId="1E59B769"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8. W przypadku odstąpienia od umowy przez Nabywcę, w trybie art. 43 ustawy deweloperskiej, odstąpienie od umowy powinno zawierać potwierdzenie Dewelopera, że zostało mu ono doręczone. </w:t>
            </w:r>
          </w:p>
          <w:p w14:paraId="72DE06B7"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2. Deweloper ma prawo odstąpić od umowy: </w:t>
            </w:r>
          </w:p>
          <w:p w14:paraId="4AB496F0"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 w przypadku niespełnienia przez nabywcę świadczenia pieniężnego w terminie lub wysokości określonych w umowie deweloperskiej, mimo </w:t>
            </w:r>
            <w:r w:rsidRPr="009939B4">
              <w:rPr>
                <w:rFonts w:ascii="Calibri" w:hAnsi="Calibri" w:cs="Calibri"/>
                <w:sz w:val="20"/>
                <w:szCs w:val="20"/>
              </w:rPr>
              <w:lastRenderedPageBreak/>
              <w:t xml:space="preserve">wezwania Nabywcy w formie pisemnej do uiszczenia zaległych kwot w terminie 30 dni od dnia doręczenia wezwania, chyba że niespełnienie przez Nabywcę świadczenia pieniężnego jest spowodowane działaniem siły wyższej, </w:t>
            </w:r>
          </w:p>
          <w:p w14:paraId="0D0F43CA" w14:textId="77777777" w:rsidR="00675A1A" w:rsidRPr="009939B4" w:rsidRDefault="00675A1A" w:rsidP="00DE6727">
            <w:pPr>
              <w:spacing w:after="0" w:line="240" w:lineRule="auto"/>
              <w:rPr>
                <w:rFonts w:ascii="Calibri" w:hAnsi="Calibri" w:cs="Calibri"/>
                <w:sz w:val="20"/>
                <w:szCs w:val="20"/>
              </w:rPr>
            </w:pPr>
            <w:r w:rsidRPr="009939B4">
              <w:rPr>
                <w:rFonts w:ascii="Calibri" w:hAnsi="Calibri" w:cs="Calibri"/>
                <w:sz w:val="20"/>
                <w:szCs w:val="20"/>
              </w:rPr>
              <w:t xml:space="preserve">2) w przypadku niestawienia się Nabywcy do odbioru lokalu lub podpisania aktu notarialnego przenoszącego na nabywcę prawa wynikające z umowy deweloperskiej, mimo dwukrotnego doręczenia wezwania w formie pisemnej w odstępie co najmniej 60 dni, chyba że niestawienie się Nabywcy jest spowodowane działaniem siły wyższej. </w:t>
            </w:r>
          </w:p>
          <w:p w14:paraId="1DA8649E"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2. W przypadku odstąpienia od umowy deweloperskiej przez Dewelopera na podstawie pkt. 1) lub 2) (art. 43 ust. 7 lub 8 ustawy deweloperskiej), Nabywca jest zobowiązany wyrazić zgodę na wykreślenie z księgi wieczystej odpowiedniego roszczenia Nabywcy, złożoną w formie pisemnej z podpisem notarialnie poświadczonym. </w:t>
            </w:r>
          </w:p>
          <w:p w14:paraId="6028B8C5" w14:textId="77777777" w:rsidR="00675A1A" w:rsidRDefault="00675A1A" w:rsidP="00DE6727">
            <w:pPr>
              <w:pStyle w:val="Default"/>
              <w:rPr>
                <w:rFonts w:ascii="Calibri" w:hAnsi="Calibri" w:cs="Calibri"/>
                <w:sz w:val="20"/>
                <w:szCs w:val="20"/>
              </w:rPr>
            </w:pPr>
          </w:p>
          <w:p w14:paraId="15454053"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3. Deweloper ma obowiązek niezwłocznie, jednak nie później niż w terminie 30 dni od dnia otrzymania oświadczenia Nabywcy o odstąpieniu od umowy, zwrócić Nabywcy środki wypłacone Deweloperowi przez bank z otwartego mieszkaniowego rachunku powierniczego w związku z realizacją umowy deweloperskiej. </w:t>
            </w:r>
          </w:p>
          <w:p w14:paraId="1CC17311"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4. W przypadku odstąpienia od umowy deweloperskiej przez Dewelopera, w przypadkach określonych w § 18 umowy deweloperskiej, kwoty wpłacone przez Nabywcę Deweloper zwróci bez odsetek w terminie do 30 dni od daty skutecznego odstąpienia od niniejszej umowy, z zastrzeżeniem ust. 7 poniżej pod warunkiem wyrażenia przez Nabywcę zgody na wykreślenie z księgi wieczystej odpowiedniego roszczenia Nabywcy, złożonej w formie pisemnej z podpisem notarialnie poświadczonym </w:t>
            </w:r>
          </w:p>
          <w:p w14:paraId="44680E85"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5. W przypadku odstąpienia na podstawie art. 43 ustawy od umowy deweloperskiej, przez jedną ze stron, bank wypłaca nabywcy przypadające mu środki pieniężne pozostałe na mieszkaniowym rachunku powierniczym w nominalnej wysokości niezwłocznie po otrzymaniu oświadczenia o odstąpieniu od umowy oraz dokumentów wymienionych w umowie o prowadzenie otwartego mieszkaniowego rachunku powierniczego. </w:t>
            </w:r>
          </w:p>
          <w:p w14:paraId="6701D8C2"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6. W przypadku rozwiązania umowy deweloperskiej, innego niż na podstawie art. 43 ustawy, strony przedstawią zgodne oświadczenia woli o sposobie podziału środków pieniężnych zgromadzonych przez nabywcę na mieszkaniowym rachunku powierniczym. Bank wypłaca środki zgromadzone na mieszkaniowym rachunku powierniczym w nominalnej wysokości niezwłocznie po otrzymaniu oświadczeń, o których mowa powyżej oraz dokumentów wymienionych w umowie o prowadzenie otwartego mieszkaniowego rachunku powierniczego. </w:t>
            </w:r>
          </w:p>
          <w:p w14:paraId="4CE57F84"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7. W przypadku, gdy Deweloper odstępuje od umowy z tej przyczyny, że Nabywca nie stawia się do odbioru Lokalu lub nie stawia się do podpisania aktu notarialnego przenoszącego na Nabywcę prawa wynikające z umowy deweloperskiej (art. 43 ust. 8 Ustawy Deweloperskiej), Nabywca będzie zobowiązany do zapłaty na rzecz Dewelopera kary umownej, równej odsetkom ustawowym liczonym w stosunku rocznym od całkowitej ceny sprzedaży za każdy dzień opóźnienia (nie więcej jednak niż 3% całkowitej ceny sprzedaży), która to kara umowna zostanie zapłacona w terminie siedmiu dni od jej naliczenia i wezwania do zapłaty lub która może być potrącona przez Dewelopera w przypadku odstąpienia od umowy przez Dewelopera z winy Nabywcy z wpłaconych przez Nabywcę kwot, na co Nabywca wyrazi zgodę. </w:t>
            </w:r>
          </w:p>
          <w:p w14:paraId="1B59BA28" w14:textId="77777777" w:rsidR="00675A1A" w:rsidRPr="009939B4" w:rsidRDefault="00675A1A" w:rsidP="00DE6727">
            <w:pPr>
              <w:spacing w:after="0" w:line="240" w:lineRule="auto"/>
              <w:rPr>
                <w:rFonts w:ascii="Calibri" w:hAnsi="Calibri" w:cs="Calibri"/>
                <w:sz w:val="20"/>
                <w:szCs w:val="20"/>
              </w:rPr>
            </w:pPr>
            <w:r w:rsidRPr="009939B4">
              <w:rPr>
                <w:rFonts w:ascii="Calibri" w:hAnsi="Calibri" w:cs="Calibri"/>
                <w:sz w:val="20"/>
                <w:szCs w:val="20"/>
              </w:rPr>
              <w:t xml:space="preserve">8. W przypadku </w:t>
            </w:r>
            <w:proofErr w:type="gramStart"/>
            <w:r w:rsidRPr="009939B4">
              <w:rPr>
                <w:rFonts w:ascii="Calibri" w:hAnsi="Calibri" w:cs="Calibri"/>
                <w:sz w:val="20"/>
                <w:szCs w:val="20"/>
              </w:rPr>
              <w:t>nie przeniesienia</w:t>
            </w:r>
            <w:proofErr w:type="gramEnd"/>
            <w:r w:rsidRPr="009939B4">
              <w:rPr>
                <w:rFonts w:ascii="Calibri" w:hAnsi="Calibri" w:cs="Calibri"/>
                <w:sz w:val="20"/>
                <w:szCs w:val="20"/>
              </w:rPr>
              <w:t xml:space="preserve"> przez Dewelopera na Nabywcę prawa własności lokalu wraz z prawami z nim związanymi (art. 43 ust. 1 pkt 6) ustawy deweloperskiej), w terminie wskazanym w § 16 umowy deweloperskiej oraz w przypadku nie wydania przedmiotu umowy w </w:t>
            </w:r>
            <w:r w:rsidRPr="009939B4">
              <w:rPr>
                <w:rFonts w:ascii="Calibri" w:hAnsi="Calibri" w:cs="Calibri"/>
                <w:sz w:val="20"/>
                <w:szCs w:val="20"/>
              </w:rPr>
              <w:lastRenderedPageBreak/>
              <w:t xml:space="preserve">terminie określonym w § 15 umowy deweloperskiej, Deweloper będzie zobowiązany do zapłaty na rzecz Nabywcy kary umownej równej odsetkom ustawowym </w:t>
            </w:r>
          </w:p>
          <w:p w14:paraId="5C4743C8"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liczonym w stosunku rocznym od całkowitej ceny sprzedaży za każdy dzień opóźnienia (nie więcej jednak niż 3% całkowitej ceny sprzedaży), która to kara umowna zostanie zapłacona w terminie siedmiu dni od jej naliczenia i wezwania do zapłaty, jednak nie później niż w dniu zawarcia umowy przeniesienia, chyba że przekroczenie terminu spowoduje odstąpienie od umowy przez Nabywcę, wówczas kara umowna płatna będzie wraz ze zwrotem wszelkich wpłaconych przez Nabywcę kwot, w trybie i terminach opisanych w § 18 ust. 3 umowy deweloperskiej.</w:t>
            </w:r>
          </w:p>
          <w:p w14:paraId="350032CA" w14:textId="77777777" w:rsidR="00675A1A" w:rsidRPr="009939B4" w:rsidRDefault="00675A1A" w:rsidP="00DE6727">
            <w:pPr>
              <w:spacing w:after="0" w:line="240" w:lineRule="auto"/>
              <w:rPr>
                <w:rFonts w:ascii="Calibri" w:hAnsi="Calibri" w:cs="Calibri"/>
                <w:kern w:val="0"/>
                <w:sz w:val="20"/>
                <w:szCs w:val="20"/>
              </w:rPr>
            </w:pPr>
          </w:p>
        </w:tc>
      </w:tr>
      <w:tr w:rsidR="00675A1A" w14:paraId="403D1C39" w14:textId="77777777" w:rsidTr="00DE6727">
        <w:trPr>
          <w:trHeight w:val="549"/>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81B2DF"/>
            <w:tcMar>
              <w:top w:w="0" w:type="dxa"/>
              <w:left w:w="108" w:type="dxa"/>
              <w:bottom w:w="0" w:type="dxa"/>
              <w:right w:w="108" w:type="dxa"/>
            </w:tcMar>
            <w:vAlign w:val="center"/>
            <w:hideMark/>
          </w:tcPr>
          <w:p w14:paraId="6C742F07" w14:textId="77777777" w:rsidR="00675A1A" w:rsidRDefault="00675A1A" w:rsidP="00DE6727">
            <w:pPr>
              <w:spacing w:after="0" w:line="240" w:lineRule="auto"/>
              <w:rPr>
                <w:rFonts w:ascii="Times New Roman" w:hAnsi="Times New Roman"/>
                <w:kern w:val="0"/>
              </w:rPr>
            </w:pPr>
            <w:r>
              <w:rPr>
                <w:rFonts w:ascii="Calibri" w:hAnsi="Calibri" w:cs="Calibri"/>
                <w:b/>
                <w:bCs/>
                <w:color w:val="000000"/>
                <w:kern w:val="0"/>
              </w:rPr>
              <w:lastRenderedPageBreak/>
              <w:t>INNE INFORMACJE  </w:t>
            </w:r>
          </w:p>
        </w:tc>
      </w:tr>
      <w:tr w:rsidR="00675A1A" w14:paraId="4A94F79A" w14:textId="77777777" w:rsidTr="00DE6727">
        <w:trPr>
          <w:trHeight w:val="549"/>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709A24" w14:textId="77777777" w:rsidR="00675A1A" w:rsidRDefault="00675A1A" w:rsidP="00DE6727">
            <w:pPr>
              <w:pStyle w:val="Default"/>
              <w:rPr>
                <w:rFonts w:ascii="Calibri" w:hAnsi="Calibri" w:cs="Calibri"/>
                <w:sz w:val="20"/>
                <w:szCs w:val="20"/>
              </w:rPr>
            </w:pPr>
          </w:p>
          <w:p w14:paraId="11D60BFB"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I. Informacja o: </w:t>
            </w:r>
          </w:p>
          <w:p w14:paraId="5B9658C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 o zgodzie banku, kasy lub innego wierzyciela hipotecznego na </w:t>
            </w:r>
            <w:proofErr w:type="spellStart"/>
            <w:r w:rsidRPr="009939B4">
              <w:rPr>
                <w:rFonts w:ascii="Calibri" w:hAnsi="Calibri" w:cs="Calibri"/>
                <w:sz w:val="20"/>
                <w:szCs w:val="20"/>
              </w:rPr>
              <w:t>bezobciążeniowe</w:t>
            </w:r>
            <w:proofErr w:type="spellEnd"/>
            <w:r w:rsidRPr="009939B4">
              <w:rPr>
                <w:rFonts w:ascii="Calibri" w:hAnsi="Calibri" w:cs="Calibri"/>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sidRPr="009939B4">
              <w:rPr>
                <w:rFonts w:ascii="Calibri" w:hAnsi="Calibri" w:cs="Calibri"/>
                <w:sz w:val="20"/>
                <w:szCs w:val="20"/>
              </w:rPr>
              <w:t>bezobciążeniowe</w:t>
            </w:r>
            <w:proofErr w:type="spellEnd"/>
            <w:r w:rsidRPr="009939B4">
              <w:rPr>
                <w:rFonts w:ascii="Calibri" w:hAnsi="Calibri" w:cs="Calibri"/>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Deweloper posiada zgodę </w:t>
            </w:r>
            <w:r w:rsidRPr="009939B4">
              <w:rPr>
                <w:rFonts w:ascii="Calibri" w:hAnsi="Calibri" w:cs="Calibri"/>
                <w:b/>
                <w:bCs/>
                <w:sz w:val="20"/>
                <w:szCs w:val="20"/>
              </w:rPr>
              <w:t>PKO Bank Polski S.A.</w:t>
            </w:r>
            <w:r w:rsidRPr="009939B4">
              <w:rPr>
                <w:rFonts w:ascii="Calibri" w:hAnsi="Calibri" w:cs="Calibri"/>
                <w:sz w:val="20"/>
                <w:szCs w:val="20"/>
              </w:rPr>
              <w:t xml:space="preserve"> na </w:t>
            </w:r>
            <w:proofErr w:type="spellStart"/>
            <w:r w:rsidRPr="009939B4">
              <w:rPr>
                <w:rFonts w:ascii="Calibri" w:hAnsi="Calibri" w:cs="Calibri"/>
                <w:sz w:val="20"/>
                <w:szCs w:val="20"/>
              </w:rPr>
              <w:t>bezobciążeniowe</w:t>
            </w:r>
            <w:proofErr w:type="spellEnd"/>
            <w:r w:rsidRPr="009939B4">
              <w:rPr>
                <w:rFonts w:ascii="Calibri" w:hAnsi="Calibri" w:cs="Calibri"/>
                <w:sz w:val="20"/>
                <w:szCs w:val="20"/>
              </w:rPr>
              <w:t xml:space="preserve"> ustanowienie odrębnej własności lokalu mieszkalnego i przeniesienie jego własności na nabywcę po wpłacie pełnej ceny przez nabywcę na otwarty mieszkaniowy rachunek powierniczy. </w:t>
            </w:r>
          </w:p>
          <w:p w14:paraId="31D9884A" w14:textId="77777777" w:rsidR="00675A1A" w:rsidRDefault="00675A1A" w:rsidP="00DE6727">
            <w:pPr>
              <w:pStyle w:val="Default"/>
              <w:rPr>
                <w:rFonts w:ascii="Calibri" w:hAnsi="Calibri" w:cs="Calibri"/>
                <w:sz w:val="20"/>
                <w:szCs w:val="20"/>
              </w:rPr>
            </w:pPr>
            <w:r w:rsidRPr="009939B4">
              <w:rPr>
                <w:rFonts w:ascii="Calibri" w:hAnsi="Calibri" w:cs="Calibri"/>
                <w:sz w:val="20"/>
                <w:szCs w:val="20"/>
              </w:rPr>
              <w:t xml:space="preserve">2) 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sidRPr="009939B4">
              <w:rPr>
                <w:rFonts w:ascii="Calibri" w:hAnsi="Calibri" w:cs="Calibri"/>
                <w:sz w:val="20"/>
                <w:szCs w:val="20"/>
              </w:rPr>
              <w:t>bezobciążeniowe</w:t>
            </w:r>
            <w:proofErr w:type="spellEnd"/>
            <w:r w:rsidRPr="009939B4">
              <w:rPr>
                <w:rFonts w:ascii="Calibri" w:hAnsi="Calibri" w:cs="Calibri"/>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9939B4">
              <w:rPr>
                <w:rFonts w:ascii="Calibri" w:hAnsi="Calibri" w:cs="Calibri"/>
                <w:sz w:val="20"/>
                <w:szCs w:val="20"/>
              </w:rPr>
              <w:t>bezobciążeniowe</w:t>
            </w:r>
            <w:proofErr w:type="spellEnd"/>
            <w:r w:rsidRPr="009939B4">
              <w:rPr>
                <w:rFonts w:ascii="Calibri" w:hAnsi="Calibri" w:cs="Calibri"/>
                <w:sz w:val="20"/>
                <w:szCs w:val="20"/>
              </w:rPr>
              <w:t xml:space="preserve"> przeniesienie na nabywcę ułamkowej części własności lokalu użytkowego po wpłacie pełnej ceny przez nabywcę lub zobowiązaniu do udzielenia takiej zgody, jeżeli takie obciążenie istnieje. – nie dotyczy </w:t>
            </w:r>
          </w:p>
          <w:p w14:paraId="014E543B" w14:textId="77777777" w:rsidR="00675A1A" w:rsidRDefault="00675A1A" w:rsidP="00DE6727">
            <w:pPr>
              <w:pStyle w:val="Default"/>
              <w:rPr>
                <w:rFonts w:ascii="Calibri" w:hAnsi="Calibri" w:cs="Calibri"/>
                <w:sz w:val="20"/>
                <w:szCs w:val="20"/>
              </w:rPr>
            </w:pPr>
            <w:r>
              <w:rPr>
                <w:rFonts w:ascii="Calibri" w:hAnsi="Calibri" w:cs="Calibri"/>
                <w:sz w:val="20"/>
                <w:szCs w:val="20"/>
              </w:rPr>
              <w:t>3) w przypadku uzyskania kredytu, Bank finansujący wystawi zgodę na zwolnienie z obciążenia hipotecznego po wpłacie na rachunek powierniczy 100% ceny lokalu.</w:t>
            </w:r>
          </w:p>
          <w:p w14:paraId="35020AA4" w14:textId="77777777" w:rsidR="00675A1A" w:rsidRPr="009939B4" w:rsidRDefault="00675A1A" w:rsidP="00DE6727">
            <w:pPr>
              <w:pStyle w:val="Default"/>
              <w:rPr>
                <w:rFonts w:ascii="Calibri" w:hAnsi="Calibri" w:cs="Calibri"/>
                <w:sz w:val="20"/>
                <w:szCs w:val="20"/>
              </w:rPr>
            </w:pPr>
          </w:p>
          <w:p w14:paraId="2A5EF9B1"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II. Informacja o możliwości zapoznania się w lokalu przedsiębiorstwa przez osobę zainteresowaną zawarciem umowy odpowiednio do zakresu umowy z: </w:t>
            </w:r>
          </w:p>
          <w:p w14:paraId="189DBE8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1) aktualnym stanem księgi wieczystej prowadzonej dla nieruchomości; </w:t>
            </w:r>
          </w:p>
          <w:p w14:paraId="76A3EEB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0A0AC41C"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3) pozwoleniem na budowę albo zgłoszeniem budowy, o którym mowa w art. 29 ust. 1 pkt 1 ustawy z dnia 7 lipca 1994 r. – Prawo budowlane, do którego organ administracji architektoniczno-budowlanej nie wniósł sprzeciwu; </w:t>
            </w:r>
          </w:p>
          <w:p w14:paraId="5A121035"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4) sprawozdaniem finansowym dewelopera za ostatnie dwa lata, a w przypadku: </w:t>
            </w:r>
          </w:p>
          <w:p w14:paraId="02049747"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a) prowadzenia działalności przez okres krótszy niż dwa lata – sprawozdaniem finansowym za okres ostatniego roku, </w:t>
            </w:r>
          </w:p>
          <w:p w14:paraId="052C1FF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b) realizacji inwestycji przez spółkę celową – sprawozdaniem spółki dominującej oraz spółki celowej; </w:t>
            </w:r>
          </w:p>
          <w:p w14:paraId="08D3F24D"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5) projektem budowlanym; </w:t>
            </w:r>
          </w:p>
          <w:p w14:paraId="46031FB9"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6) decyzją o pozwoleniu na użytkowanie budynku lub zawiadomieniem o zakończeniu budowy, do którego organ nadzoru budowlanego nie wniósł sprzeciwu; </w:t>
            </w:r>
            <w:r>
              <w:rPr>
                <w:rFonts w:ascii="Calibri" w:hAnsi="Calibri" w:cs="Calibri"/>
                <w:sz w:val="20"/>
                <w:szCs w:val="20"/>
              </w:rPr>
              <w:t>po zakończeniu budowy,</w:t>
            </w:r>
          </w:p>
          <w:p w14:paraId="00E4C9CA"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7) zaświadczeniem o samodzielności lokalu; </w:t>
            </w:r>
            <w:r>
              <w:rPr>
                <w:rFonts w:ascii="Calibri" w:hAnsi="Calibri" w:cs="Calibri"/>
                <w:sz w:val="20"/>
                <w:szCs w:val="20"/>
              </w:rPr>
              <w:t>po zakończeniu budowy,</w:t>
            </w:r>
          </w:p>
          <w:p w14:paraId="641E0533"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8) aktem ustanowienia odrębnej własności lokalu; </w:t>
            </w:r>
            <w:r>
              <w:rPr>
                <w:rFonts w:ascii="Calibri" w:hAnsi="Calibri" w:cs="Calibri"/>
                <w:sz w:val="20"/>
                <w:szCs w:val="20"/>
              </w:rPr>
              <w:t>po zakończeniu budowy,</w:t>
            </w:r>
          </w:p>
          <w:p w14:paraId="6EBA65EB" w14:textId="77777777" w:rsidR="00675A1A" w:rsidRPr="009939B4" w:rsidRDefault="00675A1A" w:rsidP="00DE6727">
            <w:pPr>
              <w:pStyle w:val="Default"/>
              <w:rPr>
                <w:rFonts w:ascii="Calibri" w:hAnsi="Calibri" w:cs="Calibri"/>
                <w:sz w:val="20"/>
                <w:szCs w:val="20"/>
              </w:rPr>
            </w:pPr>
            <w:r w:rsidRPr="009939B4">
              <w:rPr>
                <w:rFonts w:ascii="Calibri" w:hAnsi="Calibri" w:cs="Calibri"/>
                <w:sz w:val="20"/>
                <w:szCs w:val="20"/>
              </w:rPr>
              <w:t xml:space="preserve">9) dokumentem potwierdzającym: </w:t>
            </w:r>
          </w:p>
          <w:p w14:paraId="7FE4DF5B" w14:textId="77777777" w:rsidR="00675A1A" w:rsidRPr="009939B4" w:rsidRDefault="00675A1A" w:rsidP="00675A1A">
            <w:pPr>
              <w:numPr>
                <w:ilvl w:val="0"/>
                <w:numId w:val="4"/>
              </w:numPr>
              <w:autoSpaceDE w:val="0"/>
              <w:autoSpaceDN w:val="0"/>
              <w:adjustRightInd w:val="0"/>
              <w:spacing w:after="79"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a) zgodę banku, kasy lub innego wierzyciela hipotecznego na </w:t>
            </w:r>
            <w:proofErr w:type="spellStart"/>
            <w:r w:rsidRPr="009939B4">
              <w:rPr>
                <w:rFonts w:ascii="Calibri" w:hAnsi="Calibri" w:cs="Calibri"/>
                <w:color w:val="000000"/>
                <w:kern w:val="0"/>
                <w:sz w:val="20"/>
                <w:szCs w:val="20"/>
              </w:rPr>
              <w:t>bezobciążeniowe</w:t>
            </w:r>
            <w:proofErr w:type="spellEnd"/>
            <w:r w:rsidRPr="009939B4">
              <w:rPr>
                <w:rFonts w:ascii="Calibri" w:hAnsi="Calibri" w:cs="Calibri"/>
                <w:color w:val="000000"/>
                <w:kern w:val="0"/>
                <w:sz w:val="20"/>
                <w:szCs w:val="20"/>
              </w:rPr>
              <w:t xml:space="preserve"> ustanowienie odrębnej </w:t>
            </w:r>
            <w:r w:rsidRPr="009939B4">
              <w:rPr>
                <w:rFonts w:ascii="Calibri" w:hAnsi="Calibri" w:cs="Calibri"/>
                <w:color w:val="000000"/>
                <w:kern w:val="0"/>
                <w:sz w:val="20"/>
                <w:szCs w:val="20"/>
              </w:rPr>
              <w:lastRenderedPageBreak/>
              <w:t xml:space="preserve">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9939B4">
              <w:rPr>
                <w:rFonts w:ascii="Calibri" w:hAnsi="Calibri" w:cs="Calibri"/>
                <w:color w:val="000000"/>
                <w:kern w:val="0"/>
                <w:sz w:val="20"/>
                <w:szCs w:val="20"/>
              </w:rPr>
              <w:t>bezobciążeniowe</w:t>
            </w:r>
            <w:proofErr w:type="spellEnd"/>
            <w:r w:rsidRPr="009939B4">
              <w:rPr>
                <w:rFonts w:ascii="Calibri" w:hAnsi="Calibri" w:cs="Calibri"/>
                <w:color w:val="000000"/>
                <w:kern w:val="0"/>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0A5990FC" w14:textId="77777777" w:rsidR="00675A1A" w:rsidRDefault="00675A1A" w:rsidP="00675A1A">
            <w:pPr>
              <w:numPr>
                <w:ilvl w:val="0"/>
                <w:numId w:val="4"/>
              </w:num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b) 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sidRPr="009939B4">
              <w:rPr>
                <w:rFonts w:ascii="Calibri" w:hAnsi="Calibri" w:cs="Calibri"/>
                <w:color w:val="000000"/>
                <w:kern w:val="0"/>
                <w:sz w:val="20"/>
                <w:szCs w:val="20"/>
              </w:rPr>
              <w:t>bezobciążeniowe</w:t>
            </w:r>
            <w:proofErr w:type="spellEnd"/>
            <w:r w:rsidRPr="009939B4">
              <w:rPr>
                <w:rFonts w:ascii="Calibri" w:hAnsi="Calibri" w:cs="Calibri"/>
                <w:color w:val="000000"/>
                <w:kern w:val="0"/>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9939B4">
              <w:rPr>
                <w:rFonts w:ascii="Calibri" w:hAnsi="Calibri" w:cs="Calibri"/>
                <w:color w:val="000000"/>
                <w:kern w:val="0"/>
                <w:sz w:val="20"/>
                <w:szCs w:val="20"/>
              </w:rPr>
              <w:t>bezobciążeniowe</w:t>
            </w:r>
            <w:proofErr w:type="spellEnd"/>
            <w:r w:rsidRPr="009939B4">
              <w:rPr>
                <w:rFonts w:ascii="Calibri" w:hAnsi="Calibri" w:cs="Calibri"/>
                <w:color w:val="000000"/>
                <w:kern w:val="0"/>
                <w:sz w:val="20"/>
                <w:szCs w:val="20"/>
              </w:rPr>
              <w:t xml:space="preserve"> przeniesienie na nabywcę ułamkowej części własności lokalu użytkowego po wpłacie pełnej ceny przez nabywcę lub zobowiązanie do udzielenia takiej zgody, jeżeli takie obciążenie istnieje. </w:t>
            </w:r>
          </w:p>
          <w:p w14:paraId="291BCED1" w14:textId="77777777" w:rsidR="00675A1A" w:rsidRPr="009939B4" w:rsidRDefault="00675A1A" w:rsidP="00675A1A">
            <w:pPr>
              <w:numPr>
                <w:ilvl w:val="0"/>
                <w:numId w:val="4"/>
              </w:numPr>
              <w:autoSpaceDE w:val="0"/>
              <w:autoSpaceDN w:val="0"/>
              <w:adjustRightInd w:val="0"/>
              <w:spacing w:after="0" w:line="240" w:lineRule="auto"/>
              <w:rPr>
                <w:rFonts w:ascii="Calibri" w:hAnsi="Calibri" w:cs="Calibri"/>
                <w:color w:val="000000"/>
                <w:kern w:val="0"/>
                <w:sz w:val="20"/>
                <w:szCs w:val="20"/>
              </w:rPr>
            </w:pPr>
          </w:p>
          <w:p w14:paraId="2AD9F567"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III. Informacja: </w:t>
            </w:r>
          </w:p>
          <w:p w14:paraId="06A84338"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Środki pieniężne zgromadzone w </w:t>
            </w:r>
            <w:r w:rsidRPr="009939B4">
              <w:rPr>
                <w:rFonts w:ascii="Calibri" w:hAnsi="Calibri" w:cs="Calibri"/>
                <w:b/>
                <w:bCs/>
                <w:color w:val="000000"/>
                <w:kern w:val="0"/>
                <w:sz w:val="20"/>
                <w:szCs w:val="20"/>
              </w:rPr>
              <w:t xml:space="preserve">PKO Bank Polski S.A </w:t>
            </w:r>
            <w:r w:rsidRPr="009939B4">
              <w:rPr>
                <w:rFonts w:ascii="Calibri" w:hAnsi="Calibri" w:cs="Calibri"/>
                <w:color w:val="000000"/>
                <w:kern w:val="0"/>
                <w:sz w:val="20"/>
                <w:szCs w:val="20"/>
              </w:rPr>
              <w:t xml:space="preserve">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 </w:t>
            </w:r>
          </w:p>
          <w:p w14:paraId="002763CF"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Informacje podstawowe o obowiązkowym systemie gwarantowania depozytów: </w:t>
            </w:r>
          </w:p>
          <w:p w14:paraId="022CB2FA"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ochrona środków dotyczy sytuacji spełnienia warunku gwarancji wobec</w:t>
            </w:r>
            <w:r w:rsidRPr="009939B4">
              <w:rPr>
                <w:rFonts w:ascii="Calibri" w:hAnsi="Calibri" w:cs="Calibri"/>
                <w:b/>
                <w:bCs/>
                <w:color w:val="000000"/>
                <w:kern w:val="0"/>
                <w:sz w:val="20"/>
                <w:szCs w:val="20"/>
              </w:rPr>
              <w:t xml:space="preserve"> PKO Bank Polski S.A</w:t>
            </w:r>
          </w:p>
          <w:p w14:paraId="07DACBD6"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6FCA7644"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45280F18"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2CD7DBAB"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 wypłata środków gwarantowanych – co do zasady – następuje w terminie 7 dni roboczych od dnia spełnienia warunku gwarancji wobec banku lub kasy, </w:t>
            </w:r>
          </w:p>
          <w:p w14:paraId="701301B1"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 wypłata środków gwarantowanych jest dokonywana w złotych, </w:t>
            </w:r>
          </w:p>
          <w:p w14:paraId="2434C396" w14:textId="77777777" w:rsidR="00675A1A"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 </w:t>
            </w:r>
            <w:r w:rsidRPr="009939B4">
              <w:rPr>
                <w:rFonts w:ascii="Calibri" w:hAnsi="Calibri" w:cs="Calibri"/>
                <w:b/>
                <w:bCs/>
                <w:color w:val="000000"/>
                <w:kern w:val="0"/>
                <w:sz w:val="20"/>
                <w:szCs w:val="20"/>
              </w:rPr>
              <w:t xml:space="preserve">PKO Bank Polski S.A </w:t>
            </w:r>
            <w:r w:rsidRPr="009939B4">
              <w:rPr>
                <w:rFonts w:ascii="Calibri" w:hAnsi="Calibri" w:cs="Calibri"/>
                <w:color w:val="000000"/>
                <w:kern w:val="0"/>
                <w:sz w:val="20"/>
                <w:szCs w:val="20"/>
              </w:rPr>
              <w:t>korzysta także z następujących znaków towarowych:</w:t>
            </w:r>
          </w:p>
          <w:p w14:paraId="174014B5" w14:textId="77777777" w:rsidR="00675A1A" w:rsidRDefault="00675A1A" w:rsidP="00DE6727">
            <w:pPr>
              <w:autoSpaceDE w:val="0"/>
              <w:autoSpaceDN w:val="0"/>
              <w:adjustRightInd w:val="0"/>
              <w:spacing w:after="0" w:line="240" w:lineRule="auto"/>
              <w:rPr>
                <w:rFonts w:ascii="Calibri" w:hAnsi="Calibri" w:cs="Calibri"/>
                <w:color w:val="000000"/>
                <w:kern w:val="0"/>
                <w:sz w:val="20"/>
                <w:szCs w:val="20"/>
              </w:rPr>
            </w:pPr>
          </w:p>
          <w:p w14:paraId="1067149C" w14:textId="77777777" w:rsidR="00675A1A" w:rsidRDefault="00675A1A" w:rsidP="00DE6727">
            <w:pPr>
              <w:autoSpaceDE w:val="0"/>
              <w:autoSpaceDN w:val="0"/>
              <w:adjustRightInd w:val="0"/>
              <w:spacing w:after="0" w:line="240" w:lineRule="auto"/>
              <w:rPr>
                <w:rFonts w:ascii="Calibri" w:hAnsi="Calibri" w:cs="Calibri"/>
                <w:color w:val="000000"/>
                <w:kern w:val="0"/>
                <w:sz w:val="20"/>
                <w:szCs w:val="20"/>
              </w:rPr>
            </w:pPr>
          </w:p>
          <w:p w14:paraId="5D8E68A1"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p>
          <w:p w14:paraId="3B50DF07"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Dalsze informacje na temat systemu gwarantowania depozytów można uzyskać na stronie internetowej Bankowego Funduszu Gwarancyjnego: https://www.bfg.pl/. </w:t>
            </w:r>
          </w:p>
          <w:p w14:paraId="2888D0A8"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23B990F4" w14:textId="77777777" w:rsidR="00675A1A" w:rsidRDefault="00675A1A" w:rsidP="00DE6727">
            <w:pPr>
              <w:autoSpaceDE w:val="0"/>
              <w:autoSpaceDN w:val="0"/>
              <w:adjustRightInd w:val="0"/>
              <w:spacing w:after="0" w:line="240" w:lineRule="auto"/>
              <w:rPr>
                <w:rFonts w:ascii="Calibri" w:hAnsi="Calibri" w:cs="Calibri"/>
                <w:color w:val="000000"/>
                <w:kern w:val="0"/>
                <w:sz w:val="20"/>
                <w:szCs w:val="20"/>
              </w:rPr>
            </w:pPr>
            <w:r w:rsidRPr="009939B4">
              <w:rPr>
                <w:rFonts w:ascii="Calibri" w:hAnsi="Calibri" w:cs="Calibri"/>
                <w:color w:val="000000"/>
                <w:kern w:val="0"/>
                <w:sz w:val="20"/>
                <w:szCs w:val="20"/>
              </w:rPr>
              <w:t xml:space="preserve">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 </w:t>
            </w:r>
          </w:p>
          <w:p w14:paraId="20FAA4E7" w14:textId="77777777" w:rsidR="00675A1A" w:rsidRPr="009939B4" w:rsidRDefault="00675A1A" w:rsidP="00DE6727">
            <w:pPr>
              <w:autoSpaceDE w:val="0"/>
              <w:autoSpaceDN w:val="0"/>
              <w:adjustRightInd w:val="0"/>
              <w:spacing w:after="0" w:line="240" w:lineRule="auto"/>
              <w:rPr>
                <w:rFonts w:ascii="Calibri" w:hAnsi="Calibri" w:cs="Calibri"/>
                <w:color w:val="000000"/>
                <w:kern w:val="0"/>
                <w:sz w:val="20"/>
                <w:szCs w:val="20"/>
              </w:rPr>
            </w:pPr>
          </w:p>
        </w:tc>
      </w:tr>
    </w:tbl>
    <w:p w14:paraId="216C1DC4" w14:textId="77777777" w:rsidR="00B62BD6" w:rsidRDefault="00B62BD6"/>
    <w:sectPr w:rsidR="00B62BD6" w:rsidSect="00CF283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A3E97" w14:textId="77777777" w:rsidR="00DF0097" w:rsidRDefault="00DF0097" w:rsidP="00CF2834">
      <w:pPr>
        <w:spacing w:after="0" w:line="240" w:lineRule="auto"/>
      </w:pPr>
      <w:r>
        <w:separator/>
      </w:r>
    </w:p>
  </w:endnote>
  <w:endnote w:type="continuationSeparator" w:id="0">
    <w:p w14:paraId="727D3BE8" w14:textId="77777777" w:rsidR="00DF0097" w:rsidRDefault="00DF0097" w:rsidP="00CF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8319" w14:textId="77777777" w:rsidR="00B27D62" w:rsidRDefault="00B27D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342926757"/>
      <w:docPartObj>
        <w:docPartGallery w:val="Page Numbers (Bottom of Page)"/>
        <w:docPartUnique/>
      </w:docPartObj>
    </w:sdtPr>
    <w:sdtContent>
      <w:p w14:paraId="36EAB7A5" w14:textId="34706C62" w:rsidR="00B27D62" w:rsidRDefault="00B27D62">
        <w:pPr>
          <w:pStyle w:val="Stopka"/>
          <w:jc w:val="right"/>
          <w:rPr>
            <w:rFonts w:asciiTheme="majorHAnsi" w:eastAsiaTheme="majorEastAsia" w:hAnsiTheme="majorHAnsi" w:cstheme="majorBidi"/>
            <w:sz w:val="28"/>
            <w:szCs w:val="28"/>
          </w:rPr>
        </w:pPr>
        <w:r w:rsidRPr="00B27D62">
          <w:rPr>
            <w:rFonts w:asciiTheme="majorHAnsi" w:eastAsiaTheme="majorEastAsia" w:hAnsiTheme="majorHAnsi" w:cstheme="majorBidi"/>
            <w:sz w:val="16"/>
            <w:szCs w:val="16"/>
          </w:rPr>
          <w:t xml:space="preserve">str. </w:t>
        </w:r>
        <w:r w:rsidRPr="00B27D62">
          <w:rPr>
            <w:rFonts w:asciiTheme="minorHAnsi" w:eastAsiaTheme="minorEastAsia" w:hAnsiTheme="minorHAnsi"/>
            <w:sz w:val="16"/>
            <w:szCs w:val="16"/>
          </w:rPr>
          <w:fldChar w:fldCharType="begin"/>
        </w:r>
        <w:r w:rsidRPr="00B27D62">
          <w:rPr>
            <w:sz w:val="16"/>
            <w:szCs w:val="16"/>
          </w:rPr>
          <w:instrText>PAGE    \* MERGEFORMAT</w:instrText>
        </w:r>
        <w:r w:rsidRPr="00B27D62">
          <w:rPr>
            <w:rFonts w:asciiTheme="minorHAnsi" w:eastAsiaTheme="minorEastAsia" w:hAnsiTheme="minorHAnsi"/>
            <w:sz w:val="16"/>
            <w:szCs w:val="16"/>
          </w:rPr>
          <w:fldChar w:fldCharType="separate"/>
        </w:r>
        <w:r w:rsidRPr="00B27D62">
          <w:rPr>
            <w:rFonts w:asciiTheme="majorHAnsi" w:eastAsiaTheme="majorEastAsia" w:hAnsiTheme="majorHAnsi" w:cstheme="majorBidi"/>
            <w:sz w:val="16"/>
            <w:szCs w:val="16"/>
          </w:rPr>
          <w:t>2</w:t>
        </w:r>
        <w:r w:rsidRPr="00B27D62">
          <w:rPr>
            <w:rFonts w:asciiTheme="majorHAnsi" w:eastAsiaTheme="majorEastAsia" w:hAnsiTheme="majorHAnsi" w:cstheme="majorBidi"/>
            <w:sz w:val="16"/>
            <w:szCs w:val="16"/>
          </w:rPr>
          <w:fldChar w:fldCharType="end"/>
        </w:r>
      </w:p>
    </w:sdtContent>
  </w:sdt>
  <w:p w14:paraId="1AEA4132" w14:textId="77777777" w:rsidR="00CF2834" w:rsidRDefault="00CF28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38FB" w14:textId="77777777" w:rsidR="00B27D62" w:rsidRDefault="00B27D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7F57" w14:textId="77777777" w:rsidR="00DF0097" w:rsidRDefault="00DF0097" w:rsidP="00CF2834">
      <w:pPr>
        <w:spacing w:after="0" w:line="240" w:lineRule="auto"/>
      </w:pPr>
      <w:r>
        <w:separator/>
      </w:r>
    </w:p>
  </w:footnote>
  <w:footnote w:type="continuationSeparator" w:id="0">
    <w:p w14:paraId="16B03021" w14:textId="77777777" w:rsidR="00DF0097" w:rsidRDefault="00DF0097" w:rsidP="00CF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2151" w14:textId="77777777" w:rsidR="00B27D62" w:rsidRDefault="00B27D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2D77" w14:textId="77777777" w:rsidR="00B27D62" w:rsidRDefault="00B27D6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6053" w14:textId="77777777" w:rsidR="00B27D62" w:rsidRDefault="00B27D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171"/>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B5747F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EC40B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start w:val="3"/>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8138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22329206">
    <w:abstractNumId w:val="2"/>
  </w:num>
  <w:num w:numId="2" w16cid:durableId="1753431804">
    <w:abstractNumId w:val="3"/>
  </w:num>
  <w:num w:numId="3" w16cid:durableId="1918173467">
    <w:abstractNumId w:val="0"/>
  </w:num>
  <w:num w:numId="4" w16cid:durableId="16740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E6DCA"/>
    <w:rsid w:val="00051EFC"/>
    <w:rsid w:val="00675A1A"/>
    <w:rsid w:val="00717276"/>
    <w:rsid w:val="007C0334"/>
    <w:rsid w:val="00887821"/>
    <w:rsid w:val="00A41CAA"/>
    <w:rsid w:val="00B27D62"/>
    <w:rsid w:val="00B62BD6"/>
    <w:rsid w:val="00BA1791"/>
    <w:rsid w:val="00BB6386"/>
    <w:rsid w:val="00BE6DCA"/>
    <w:rsid w:val="00CF2834"/>
    <w:rsid w:val="00D449BF"/>
    <w:rsid w:val="00DF0097"/>
    <w:rsid w:val="00E02F9A"/>
    <w:rsid w:val="00EA3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4A1F"/>
  <w15:chartTrackingRefBased/>
  <w15:docId w15:val="{4D113F01-75CC-4BA2-8B6F-61932AA2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5A1A"/>
    <w:pPr>
      <w:spacing w:after="160" w:line="278" w:lineRule="auto"/>
    </w:pPr>
    <w:rPr>
      <w:rFonts w:ascii="Aptos" w:eastAsia="Times New Roman" w:hAnsi="Aptos" w:cs="Times New Roman"/>
      <w:sz w:val="24"/>
      <w:szCs w:val="24"/>
      <w:lang w:eastAsia="pl-PL"/>
      <w14:ligatures w14:val="none"/>
    </w:rPr>
  </w:style>
  <w:style w:type="paragraph" w:styleId="Nagwek1">
    <w:name w:val="heading 1"/>
    <w:basedOn w:val="Normalny"/>
    <w:next w:val="Normalny"/>
    <w:link w:val="Nagwek1Znak"/>
    <w:uiPriority w:val="9"/>
    <w:qFormat/>
    <w:rsid w:val="00BE6D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gwek2">
    <w:name w:val="heading 2"/>
    <w:basedOn w:val="Normalny"/>
    <w:next w:val="Normalny"/>
    <w:link w:val="Nagwek2Znak"/>
    <w:uiPriority w:val="9"/>
    <w:semiHidden/>
    <w:unhideWhenUsed/>
    <w:qFormat/>
    <w:rsid w:val="00BE6D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semiHidden/>
    <w:unhideWhenUsed/>
    <w:qFormat/>
    <w:rsid w:val="00BE6DCA"/>
    <w:pPr>
      <w:keepNext/>
      <w:keepLines/>
      <w:spacing w:before="160" w:after="80"/>
      <w:outlineLvl w:val="2"/>
    </w:pPr>
    <w:rPr>
      <w:rFonts w:eastAsiaTheme="majorEastAsia" w:cstheme="majorBidi"/>
      <w:color w:val="365F91" w:themeColor="accent1" w:themeShade="BF"/>
      <w:sz w:val="28"/>
      <w:szCs w:val="28"/>
    </w:rPr>
  </w:style>
  <w:style w:type="paragraph" w:styleId="Nagwek4">
    <w:name w:val="heading 4"/>
    <w:basedOn w:val="Normalny"/>
    <w:next w:val="Normalny"/>
    <w:link w:val="Nagwek4Znak"/>
    <w:uiPriority w:val="9"/>
    <w:semiHidden/>
    <w:unhideWhenUsed/>
    <w:qFormat/>
    <w:rsid w:val="00BE6DCA"/>
    <w:pPr>
      <w:keepNext/>
      <w:keepLines/>
      <w:spacing w:before="80" w:after="40"/>
      <w:outlineLvl w:val="3"/>
    </w:pPr>
    <w:rPr>
      <w:rFonts w:eastAsiaTheme="majorEastAsia" w:cstheme="majorBidi"/>
      <w:i/>
      <w:iCs/>
      <w:color w:val="365F91" w:themeColor="accent1" w:themeShade="BF"/>
    </w:rPr>
  </w:style>
  <w:style w:type="paragraph" w:styleId="Nagwek5">
    <w:name w:val="heading 5"/>
    <w:basedOn w:val="Normalny"/>
    <w:next w:val="Normalny"/>
    <w:link w:val="Nagwek5Znak"/>
    <w:uiPriority w:val="9"/>
    <w:semiHidden/>
    <w:unhideWhenUsed/>
    <w:qFormat/>
    <w:rsid w:val="00BE6DCA"/>
    <w:pPr>
      <w:keepNext/>
      <w:keepLines/>
      <w:spacing w:before="80" w:after="40"/>
      <w:outlineLvl w:val="4"/>
    </w:pPr>
    <w:rPr>
      <w:rFonts w:eastAsiaTheme="majorEastAsia" w:cstheme="majorBidi"/>
      <w:color w:val="365F91" w:themeColor="accent1" w:themeShade="BF"/>
    </w:rPr>
  </w:style>
  <w:style w:type="paragraph" w:styleId="Nagwek6">
    <w:name w:val="heading 6"/>
    <w:basedOn w:val="Normalny"/>
    <w:next w:val="Normalny"/>
    <w:link w:val="Nagwek6Znak"/>
    <w:uiPriority w:val="9"/>
    <w:semiHidden/>
    <w:unhideWhenUsed/>
    <w:qFormat/>
    <w:rsid w:val="00BE6D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6D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6D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6D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6DCA"/>
    <w:rPr>
      <w:rFonts w:asciiTheme="majorHAnsi" w:eastAsiaTheme="majorEastAsia" w:hAnsiTheme="majorHAnsi" w:cstheme="majorBidi"/>
      <w:color w:val="365F91" w:themeColor="accent1" w:themeShade="BF"/>
      <w:sz w:val="40"/>
      <w:szCs w:val="40"/>
    </w:rPr>
  </w:style>
  <w:style w:type="character" w:customStyle="1" w:styleId="Nagwek2Znak">
    <w:name w:val="Nagłówek 2 Znak"/>
    <w:basedOn w:val="Domylnaczcionkaakapitu"/>
    <w:link w:val="Nagwek2"/>
    <w:uiPriority w:val="9"/>
    <w:semiHidden/>
    <w:rsid w:val="00BE6DCA"/>
    <w:rPr>
      <w:rFonts w:asciiTheme="majorHAnsi" w:eastAsiaTheme="majorEastAsia" w:hAnsiTheme="majorHAnsi" w:cstheme="majorBidi"/>
      <w:color w:val="365F91" w:themeColor="accent1" w:themeShade="BF"/>
      <w:sz w:val="32"/>
      <w:szCs w:val="32"/>
    </w:rPr>
  </w:style>
  <w:style w:type="character" w:customStyle="1" w:styleId="Nagwek3Znak">
    <w:name w:val="Nagłówek 3 Znak"/>
    <w:basedOn w:val="Domylnaczcionkaakapitu"/>
    <w:link w:val="Nagwek3"/>
    <w:uiPriority w:val="9"/>
    <w:semiHidden/>
    <w:rsid w:val="00BE6DCA"/>
    <w:rPr>
      <w:rFonts w:eastAsiaTheme="majorEastAsia" w:cstheme="majorBidi"/>
      <w:color w:val="365F91" w:themeColor="accent1" w:themeShade="BF"/>
      <w:sz w:val="28"/>
      <w:szCs w:val="28"/>
    </w:rPr>
  </w:style>
  <w:style w:type="character" w:customStyle="1" w:styleId="Nagwek4Znak">
    <w:name w:val="Nagłówek 4 Znak"/>
    <w:basedOn w:val="Domylnaczcionkaakapitu"/>
    <w:link w:val="Nagwek4"/>
    <w:uiPriority w:val="9"/>
    <w:semiHidden/>
    <w:rsid w:val="00BE6DCA"/>
    <w:rPr>
      <w:rFonts w:eastAsiaTheme="majorEastAsia" w:cstheme="majorBidi"/>
      <w:i/>
      <w:iCs/>
      <w:color w:val="365F91" w:themeColor="accent1" w:themeShade="BF"/>
    </w:rPr>
  </w:style>
  <w:style w:type="character" w:customStyle="1" w:styleId="Nagwek5Znak">
    <w:name w:val="Nagłówek 5 Znak"/>
    <w:basedOn w:val="Domylnaczcionkaakapitu"/>
    <w:link w:val="Nagwek5"/>
    <w:uiPriority w:val="9"/>
    <w:semiHidden/>
    <w:rsid w:val="00BE6DCA"/>
    <w:rPr>
      <w:rFonts w:eastAsiaTheme="majorEastAsia" w:cstheme="majorBidi"/>
      <w:color w:val="365F91" w:themeColor="accent1" w:themeShade="BF"/>
    </w:rPr>
  </w:style>
  <w:style w:type="character" w:customStyle="1" w:styleId="Nagwek6Znak">
    <w:name w:val="Nagłówek 6 Znak"/>
    <w:basedOn w:val="Domylnaczcionkaakapitu"/>
    <w:link w:val="Nagwek6"/>
    <w:uiPriority w:val="9"/>
    <w:semiHidden/>
    <w:rsid w:val="00BE6D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6D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6D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6DCA"/>
    <w:rPr>
      <w:rFonts w:eastAsiaTheme="majorEastAsia" w:cstheme="majorBidi"/>
      <w:color w:val="272727" w:themeColor="text1" w:themeTint="D8"/>
    </w:rPr>
  </w:style>
  <w:style w:type="paragraph" w:styleId="Tytu">
    <w:name w:val="Title"/>
    <w:basedOn w:val="Normalny"/>
    <w:next w:val="Normalny"/>
    <w:link w:val="TytuZnak"/>
    <w:uiPriority w:val="10"/>
    <w:qFormat/>
    <w:rsid w:val="00BE6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6D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6D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6D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6DCA"/>
    <w:pPr>
      <w:spacing w:before="160"/>
      <w:jc w:val="center"/>
    </w:pPr>
    <w:rPr>
      <w:i/>
      <w:iCs/>
      <w:color w:val="404040" w:themeColor="text1" w:themeTint="BF"/>
    </w:rPr>
  </w:style>
  <w:style w:type="character" w:customStyle="1" w:styleId="CytatZnak">
    <w:name w:val="Cytat Znak"/>
    <w:basedOn w:val="Domylnaczcionkaakapitu"/>
    <w:link w:val="Cytat"/>
    <w:uiPriority w:val="29"/>
    <w:rsid w:val="00BE6DCA"/>
    <w:rPr>
      <w:i/>
      <w:iCs/>
      <w:color w:val="404040" w:themeColor="text1" w:themeTint="BF"/>
    </w:rPr>
  </w:style>
  <w:style w:type="paragraph" w:styleId="Akapitzlist">
    <w:name w:val="List Paragraph"/>
    <w:basedOn w:val="Normalny"/>
    <w:uiPriority w:val="34"/>
    <w:qFormat/>
    <w:rsid w:val="00BE6DCA"/>
    <w:pPr>
      <w:ind w:left="720"/>
      <w:contextualSpacing/>
    </w:pPr>
  </w:style>
  <w:style w:type="character" w:styleId="Wyrnienieintensywne">
    <w:name w:val="Intense Emphasis"/>
    <w:basedOn w:val="Domylnaczcionkaakapitu"/>
    <w:uiPriority w:val="21"/>
    <w:qFormat/>
    <w:rsid w:val="00BE6DCA"/>
    <w:rPr>
      <w:i/>
      <w:iCs/>
      <w:color w:val="365F91" w:themeColor="accent1" w:themeShade="BF"/>
    </w:rPr>
  </w:style>
  <w:style w:type="paragraph" w:styleId="Cytatintensywny">
    <w:name w:val="Intense Quote"/>
    <w:basedOn w:val="Normalny"/>
    <w:next w:val="Normalny"/>
    <w:link w:val="CytatintensywnyZnak"/>
    <w:uiPriority w:val="30"/>
    <w:qFormat/>
    <w:rsid w:val="00BE6D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BE6DCA"/>
    <w:rPr>
      <w:i/>
      <w:iCs/>
      <w:color w:val="365F91" w:themeColor="accent1" w:themeShade="BF"/>
    </w:rPr>
  </w:style>
  <w:style w:type="character" w:styleId="Odwoanieintensywne">
    <w:name w:val="Intense Reference"/>
    <w:basedOn w:val="Domylnaczcionkaakapitu"/>
    <w:uiPriority w:val="32"/>
    <w:qFormat/>
    <w:rsid w:val="00BE6DCA"/>
    <w:rPr>
      <w:b/>
      <w:bCs/>
      <w:smallCaps/>
      <w:color w:val="365F91" w:themeColor="accent1" w:themeShade="BF"/>
      <w:spacing w:val="5"/>
    </w:rPr>
  </w:style>
  <w:style w:type="paragraph" w:customStyle="1" w:styleId="Default">
    <w:name w:val="Default"/>
    <w:rsid w:val="00675A1A"/>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Nagwek">
    <w:name w:val="header"/>
    <w:basedOn w:val="Normalny"/>
    <w:link w:val="NagwekZnak"/>
    <w:uiPriority w:val="99"/>
    <w:unhideWhenUsed/>
    <w:rsid w:val="00CF2834"/>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CF2834"/>
    <w:rPr>
      <w:rFonts w:ascii="Aptos" w:eastAsia="Times New Roman" w:hAnsi="Aptos" w:cs="Times New Roman"/>
      <w:sz w:val="24"/>
      <w:szCs w:val="24"/>
      <w:lang w:eastAsia="pl-PL"/>
      <w14:ligatures w14:val="none"/>
    </w:rPr>
  </w:style>
  <w:style w:type="paragraph" w:styleId="Stopka">
    <w:name w:val="footer"/>
    <w:basedOn w:val="Normalny"/>
    <w:link w:val="StopkaZnak"/>
    <w:uiPriority w:val="99"/>
    <w:unhideWhenUsed/>
    <w:rsid w:val="00CF2834"/>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CF2834"/>
    <w:rPr>
      <w:rFonts w:ascii="Aptos" w:eastAsia="Times New Roman" w:hAnsi="Aptos" w:cs="Times New Roman"/>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lawa.e-mapa.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8ACF-7518-4133-9AF1-BBAA4A167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5426</Words>
  <Characters>32559</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Mieczysław Myszak</dc:creator>
  <cp:keywords/>
  <dc:description/>
  <cp:lastModifiedBy>Mieczysław Myszak</cp:lastModifiedBy>
  <cp:revision>6</cp:revision>
  <cp:lastPrinted>2026-05-08T08:21:00Z</cp:lastPrinted>
  <dcterms:created xsi:type="dcterms:W3CDTF">2026-05-07T11:26:00Z</dcterms:created>
  <dcterms:modified xsi:type="dcterms:W3CDTF">2026-06-12T09:50:00Z</dcterms:modified>
</cp:coreProperties>
</file>